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4F05" w:rsidRPr="00287293" w:rsidRDefault="00972D17" w:rsidP="00972D17">
      <w:pPr>
        <w:jc w:val="center"/>
        <w:outlineLvl w:val="0"/>
        <w:rPr>
          <w:b/>
          <w:sz w:val="32"/>
          <w:szCs w:val="32"/>
        </w:rPr>
      </w:pPr>
      <w:r>
        <w:rPr>
          <w:b/>
          <w:sz w:val="32"/>
          <w:szCs w:val="32"/>
        </w:rPr>
        <w:t xml:space="preserve">La </w:t>
      </w:r>
      <w:r w:rsidR="003D063E" w:rsidRPr="00287293">
        <w:rPr>
          <w:b/>
          <w:sz w:val="32"/>
          <w:szCs w:val="32"/>
        </w:rPr>
        <w:t>Culture économique, juridique et managériale</w:t>
      </w:r>
      <w:r>
        <w:rPr>
          <w:b/>
          <w:sz w:val="32"/>
          <w:szCs w:val="32"/>
        </w:rPr>
        <w:t xml:space="preserve"> </w:t>
      </w:r>
      <w:r>
        <w:rPr>
          <w:b/>
          <w:sz w:val="32"/>
          <w:szCs w:val="32"/>
        </w:rPr>
        <w:br/>
        <w:t xml:space="preserve">dans le </w:t>
      </w:r>
      <w:r w:rsidR="00D14F05" w:rsidRPr="00287293">
        <w:rPr>
          <w:b/>
          <w:sz w:val="32"/>
          <w:szCs w:val="32"/>
        </w:rPr>
        <w:t>BTS NDRC</w:t>
      </w:r>
    </w:p>
    <w:p w:rsidR="00462E24" w:rsidRDefault="00462E24"/>
    <w:p w:rsidR="00490004" w:rsidRDefault="00490004">
      <w:pPr>
        <w:rPr>
          <w:b/>
        </w:rPr>
      </w:pPr>
    </w:p>
    <w:p w:rsidR="00D14F05" w:rsidRPr="00634030" w:rsidRDefault="00D14F05" w:rsidP="00634030">
      <w:pPr>
        <w:jc w:val="both"/>
        <w:rPr>
          <w:rFonts w:ascii="Arial" w:hAnsi="Arial" w:cs="Arial"/>
          <w:b/>
          <w:highlight w:val="cyan"/>
        </w:rPr>
      </w:pPr>
      <w:r w:rsidRPr="00634030">
        <w:rPr>
          <w:rFonts w:ascii="Arial" w:hAnsi="Arial" w:cs="Arial"/>
          <w:b/>
          <w:highlight w:val="cyan"/>
        </w:rPr>
        <w:t>Une nouvelle organisation à compter de la rentrée 2018</w:t>
      </w:r>
    </w:p>
    <w:p w:rsidR="00D14F05" w:rsidRDefault="00D14F05" w:rsidP="00490004">
      <w:pPr>
        <w:jc w:val="both"/>
      </w:pPr>
    </w:p>
    <w:p w:rsidR="00490004" w:rsidRDefault="005D3C86" w:rsidP="00490004">
      <w:pPr>
        <w:jc w:val="both"/>
      </w:pPr>
      <w:r>
        <w:t xml:space="preserve">En même temps que les </w:t>
      </w:r>
      <w:r w:rsidR="002129AF">
        <w:t xml:space="preserve">BTS </w:t>
      </w:r>
      <w:r w:rsidR="00490004">
        <w:t>SAM</w:t>
      </w:r>
      <w:r>
        <w:t xml:space="preserve"> et</w:t>
      </w:r>
      <w:r w:rsidR="002E5176">
        <w:t xml:space="preserve"> </w:t>
      </w:r>
      <w:r w:rsidR="00490004">
        <w:t xml:space="preserve">Gestion de la PME, </w:t>
      </w:r>
      <w:r>
        <w:t xml:space="preserve">le BTS </w:t>
      </w:r>
      <w:r w:rsidR="00490004">
        <w:t xml:space="preserve">NDRC </w:t>
      </w:r>
      <w:r>
        <w:t xml:space="preserve">mettra </w:t>
      </w:r>
      <w:r w:rsidR="00490004">
        <w:t>en œuvre l</w:t>
      </w:r>
      <w:r>
        <w:t xml:space="preserve">e nouveau programme de culture </w:t>
      </w:r>
      <w:r w:rsidR="00490004">
        <w:t>économique, juridique et managérial</w:t>
      </w:r>
      <w:r>
        <w:t xml:space="preserve"> (CEJM)</w:t>
      </w:r>
      <w:r w:rsidR="00490004">
        <w:t xml:space="preserve"> dès la rentrée 2018. Les autres BTS tertiaires prévoiront une mise en œuvre au fil des rénovations à venir.</w:t>
      </w:r>
    </w:p>
    <w:p w:rsidR="00490004" w:rsidRDefault="00490004" w:rsidP="00490004">
      <w:pPr>
        <w:jc w:val="both"/>
      </w:pPr>
    </w:p>
    <w:p w:rsidR="00462E24" w:rsidRDefault="00490004" w:rsidP="00490004">
      <w:pPr>
        <w:jc w:val="both"/>
      </w:pPr>
      <w:r>
        <w:t xml:space="preserve">Cette rénovation consacre le </w:t>
      </w:r>
      <w:r w:rsidR="005A6134">
        <w:t>passage d</w:t>
      </w:r>
      <w:r w:rsidR="005D3C86">
        <w:t>u bloc de 6</w:t>
      </w:r>
      <w:r w:rsidR="00512AA7">
        <w:t xml:space="preserve"> </w:t>
      </w:r>
      <w:r w:rsidR="005D3C86">
        <w:t>h</w:t>
      </w:r>
      <w:r w:rsidR="00512AA7">
        <w:t>eures</w:t>
      </w:r>
      <w:r w:rsidR="005D3C86">
        <w:t xml:space="preserve"> d’économie</w:t>
      </w:r>
      <w:r w:rsidR="002E5176">
        <w:t xml:space="preserve"> </w:t>
      </w:r>
      <w:r w:rsidR="005A6134">
        <w:t>/</w:t>
      </w:r>
      <w:r w:rsidR="00462E24">
        <w:t>droit / management</w:t>
      </w:r>
      <w:r w:rsidR="002E5176">
        <w:t xml:space="preserve"> </w:t>
      </w:r>
      <w:r w:rsidR="002129AF">
        <w:t>à 4 h</w:t>
      </w:r>
      <w:r w:rsidR="00512AA7">
        <w:t>eures</w:t>
      </w:r>
      <w:r w:rsidR="002129AF">
        <w:t xml:space="preserve"> de </w:t>
      </w:r>
      <w:r w:rsidR="005A6134">
        <w:t>Culture économique, juridique et managériale</w:t>
      </w:r>
      <w:r w:rsidR="002129AF">
        <w:t xml:space="preserve"> en tronc commun ajouté d’un approfondissement/enrichissement professionnel</w:t>
      </w:r>
      <w:r w:rsidR="005A6134">
        <w:t xml:space="preserve"> dont les modalités diffèrent selon les diplômes.</w:t>
      </w:r>
    </w:p>
    <w:p w:rsidR="00490004" w:rsidRDefault="00490004" w:rsidP="00490004">
      <w:pPr>
        <w:jc w:val="both"/>
      </w:pPr>
    </w:p>
    <w:p w:rsidR="00490004" w:rsidRDefault="00490004" w:rsidP="00CC77F4">
      <w:pPr>
        <w:jc w:val="both"/>
      </w:pPr>
      <w:r>
        <w:t>Concernant le BTS NDRC, la nouvelle organisation est la suivante :</w:t>
      </w:r>
    </w:p>
    <w:p w:rsidR="00D14F05" w:rsidRDefault="00D14F05" w:rsidP="00490004">
      <w:pPr>
        <w:jc w:val="both"/>
      </w:pPr>
    </w:p>
    <w:tbl>
      <w:tblPr>
        <w:tblW w:w="9584" w:type="dxa"/>
        <w:jc w:val="center"/>
        <w:tblCellMar>
          <w:left w:w="70" w:type="dxa"/>
          <w:right w:w="70" w:type="dxa"/>
        </w:tblCellMar>
        <w:tblLook w:val="04A0"/>
      </w:tblPr>
      <w:tblGrid>
        <w:gridCol w:w="3037"/>
        <w:gridCol w:w="726"/>
        <w:gridCol w:w="627"/>
        <w:gridCol w:w="1276"/>
        <w:gridCol w:w="726"/>
        <w:gridCol w:w="436"/>
        <w:gridCol w:w="1242"/>
        <w:gridCol w:w="750"/>
        <w:gridCol w:w="7"/>
        <w:gridCol w:w="757"/>
      </w:tblGrid>
      <w:tr w:rsidR="00D14F05" w:rsidRPr="00AA79B2" w:rsidTr="00CC77F4">
        <w:trPr>
          <w:trHeight w:val="300"/>
          <w:jc w:val="center"/>
        </w:trPr>
        <w:tc>
          <w:tcPr>
            <w:tcW w:w="3037" w:type="dxa"/>
            <w:vMerge w:val="restart"/>
            <w:tcBorders>
              <w:top w:val="single" w:sz="4" w:space="0" w:color="auto"/>
              <w:left w:val="single" w:sz="4" w:space="0" w:color="auto"/>
              <w:right w:val="single" w:sz="4" w:space="0" w:color="auto"/>
            </w:tcBorders>
            <w:noWrap/>
            <w:vAlign w:val="center"/>
          </w:tcPr>
          <w:p w:rsidR="00D14F05" w:rsidRPr="00AA79B2" w:rsidRDefault="00D14F05" w:rsidP="00CC77F4">
            <w:pPr>
              <w:spacing w:line="276" w:lineRule="auto"/>
              <w:ind w:left="1526"/>
              <w:jc w:val="both"/>
              <w:rPr>
                <w:b/>
                <w:bCs/>
                <w:sz w:val="22"/>
                <w:szCs w:val="22"/>
                <w:lang w:eastAsia="en-US"/>
              </w:rPr>
            </w:pPr>
            <w:r w:rsidRPr="00AA79B2">
              <w:rPr>
                <w:b/>
                <w:bCs/>
                <w:sz w:val="22"/>
                <w:szCs w:val="22"/>
                <w:lang w:eastAsia="en-US"/>
              </w:rPr>
              <w:t>Modules de formation</w:t>
            </w:r>
          </w:p>
        </w:tc>
        <w:tc>
          <w:tcPr>
            <w:tcW w:w="2629" w:type="dxa"/>
            <w:gridSpan w:val="3"/>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1</w:t>
            </w:r>
            <w:r w:rsidRPr="00AA79B2">
              <w:rPr>
                <w:b/>
                <w:bCs/>
                <w:sz w:val="22"/>
                <w:szCs w:val="22"/>
                <w:vertAlign w:val="superscript"/>
                <w:lang w:eastAsia="en-US"/>
              </w:rPr>
              <w:t>ère</w:t>
            </w:r>
            <w:r w:rsidRPr="00AA79B2">
              <w:rPr>
                <w:b/>
                <w:bCs/>
                <w:sz w:val="22"/>
                <w:szCs w:val="22"/>
                <w:lang w:eastAsia="en-US"/>
              </w:rPr>
              <w:t xml:space="preserve"> année</w:t>
            </w:r>
          </w:p>
        </w:tc>
        <w:tc>
          <w:tcPr>
            <w:tcW w:w="2404" w:type="dxa"/>
            <w:gridSpan w:val="3"/>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2</w:t>
            </w:r>
            <w:r w:rsidRPr="00AA79B2">
              <w:rPr>
                <w:b/>
                <w:bCs/>
                <w:sz w:val="22"/>
                <w:szCs w:val="22"/>
                <w:vertAlign w:val="superscript"/>
                <w:lang w:eastAsia="en-US"/>
              </w:rPr>
              <w:t>ème</w:t>
            </w:r>
            <w:r w:rsidRPr="00AA79B2">
              <w:rPr>
                <w:b/>
                <w:bCs/>
                <w:sz w:val="22"/>
                <w:szCs w:val="22"/>
                <w:lang w:eastAsia="en-US"/>
              </w:rPr>
              <w:t xml:space="preserve"> année</w:t>
            </w:r>
          </w:p>
        </w:tc>
        <w:tc>
          <w:tcPr>
            <w:tcW w:w="757" w:type="dxa"/>
            <w:gridSpan w:val="2"/>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1</w:t>
            </w:r>
            <w:r w:rsidRPr="00AA79B2">
              <w:rPr>
                <w:b/>
                <w:bCs/>
                <w:sz w:val="22"/>
                <w:szCs w:val="22"/>
                <w:vertAlign w:val="superscript"/>
                <w:lang w:eastAsia="en-US"/>
              </w:rPr>
              <w:t>ère</w:t>
            </w:r>
            <w:r w:rsidRPr="00AA79B2">
              <w:rPr>
                <w:b/>
                <w:bCs/>
                <w:sz w:val="22"/>
                <w:szCs w:val="22"/>
                <w:lang w:eastAsia="en-US"/>
              </w:rPr>
              <w:t xml:space="preserve"> année</w:t>
            </w:r>
          </w:p>
        </w:tc>
        <w:tc>
          <w:tcPr>
            <w:tcW w:w="757" w:type="dxa"/>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2</w:t>
            </w:r>
            <w:r w:rsidRPr="00AA79B2">
              <w:rPr>
                <w:b/>
                <w:bCs/>
                <w:sz w:val="22"/>
                <w:szCs w:val="22"/>
                <w:vertAlign w:val="superscript"/>
                <w:lang w:eastAsia="en-US"/>
              </w:rPr>
              <w:t>ème</w:t>
            </w:r>
            <w:r w:rsidRPr="00AA79B2">
              <w:rPr>
                <w:b/>
                <w:bCs/>
                <w:sz w:val="22"/>
                <w:szCs w:val="22"/>
                <w:lang w:eastAsia="en-US"/>
              </w:rPr>
              <w:t xml:space="preserve"> année</w:t>
            </w:r>
          </w:p>
        </w:tc>
      </w:tr>
      <w:tr w:rsidR="00D14F05" w:rsidRPr="00AA79B2" w:rsidTr="00CC77F4">
        <w:trPr>
          <w:trHeight w:val="518"/>
          <w:jc w:val="center"/>
        </w:trPr>
        <w:tc>
          <w:tcPr>
            <w:tcW w:w="3037" w:type="dxa"/>
            <w:vMerge/>
            <w:tcBorders>
              <w:left w:val="single" w:sz="4" w:space="0" w:color="auto"/>
              <w:bottom w:val="single" w:sz="4" w:space="0" w:color="auto"/>
              <w:right w:val="single" w:sz="4" w:space="0" w:color="auto"/>
            </w:tcBorders>
            <w:noWrap/>
            <w:vAlign w:val="center"/>
            <w:hideMark/>
          </w:tcPr>
          <w:p w:rsidR="00D14F05" w:rsidRPr="00AA79B2" w:rsidRDefault="00D14F05" w:rsidP="00CC77F4">
            <w:pPr>
              <w:spacing w:line="276" w:lineRule="auto"/>
              <w:ind w:left="1526"/>
              <w:jc w:val="both"/>
              <w:rPr>
                <w:b/>
                <w:bCs/>
                <w:sz w:val="22"/>
                <w:szCs w:val="22"/>
                <w:lang w:eastAsia="en-US"/>
              </w:rPr>
            </w:pPr>
          </w:p>
        </w:tc>
        <w:tc>
          <w:tcPr>
            <w:tcW w:w="726"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Cours</w:t>
            </w:r>
          </w:p>
        </w:tc>
        <w:tc>
          <w:tcPr>
            <w:tcW w:w="627"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TD</w:t>
            </w:r>
          </w:p>
        </w:tc>
        <w:tc>
          <w:tcPr>
            <w:tcW w:w="1276"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Professeur</w:t>
            </w:r>
          </w:p>
        </w:tc>
        <w:tc>
          <w:tcPr>
            <w:tcW w:w="726" w:type="dxa"/>
            <w:tcBorders>
              <w:top w:val="single" w:sz="4" w:space="0" w:color="auto"/>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Cours</w:t>
            </w:r>
          </w:p>
        </w:tc>
        <w:tc>
          <w:tcPr>
            <w:tcW w:w="436" w:type="dxa"/>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TD</w:t>
            </w:r>
          </w:p>
        </w:tc>
        <w:tc>
          <w:tcPr>
            <w:tcW w:w="1242" w:type="dxa"/>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22"/>
                <w:szCs w:val="22"/>
                <w:lang w:eastAsia="en-US"/>
              </w:rPr>
            </w:pPr>
            <w:r w:rsidRPr="00AA79B2">
              <w:rPr>
                <w:b/>
                <w:bCs/>
                <w:sz w:val="22"/>
                <w:szCs w:val="22"/>
                <w:lang w:eastAsia="en-US"/>
              </w:rPr>
              <w:t>Professeur</w:t>
            </w:r>
          </w:p>
        </w:tc>
        <w:tc>
          <w:tcPr>
            <w:tcW w:w="1514" w:type="dxa"/>
            <w:gridSpan w:val="3"/>
            <w:tcBorders>
              <w:top w:val="single" w:sz="4" w:space="0" w:color="auto"/>
              <w:left w:val="nil"/>
              <w:bottom w:val="single" w:sz="4" w:space="0" w:color="auto"/>
              <w:right w:val="single" w:sz="4" w:space="0" w:color="auto"/>
            </w:tcBorders>
            <w:vAlign w:val="center"/>
            <w:hideMark/>
          </w:tcPr>
          <w:p w:rsidR="00D14F05" w:rsidRPr="00AA79B2" w:rsidRDefault="00D14F05" w:rsidP="00490004">
            <w:pPr>
              <w:spacing w:line="276" w:lineRule="auto"/>
              <w:jc w:val="both"/>
              <w:rPr>
                <w:b/>
                <w:bCs/>
                <w:sz w:val="16"/>
                <w:szCs w:val="16"/>
                <w:lang w:eastAsia="en-US"/>
              </w:rPr>
            </w:pPr>
            <w:r w:rsidRPr="00AA79B2">
              <w:rPr>
                <w:b/>
                <w:bCs/>
                <w:sz w:val="16"/>
                <w:szCs w:val="16"/>
                <w:lang w:eastAsia="en-US"/>
              </w:rPr>
              <w:t>Volume horaire</w:t>
            </w:r>
          </w:p>
          <w:p w:rsidR="00D14F05" w:rsidRPr="00AA79B2" w:rsidRDefault="00D14F05" w:rsidP="00490004">
            <w:pPr>
              <w:spacing w:line="276" w:lineRule="auto"/>
              <w:jc w:val="both"/>
              <w:rPr>
                <w:b/>
                <w:bCs/>
                <w:sz w:val="16"/>
                <w:szCs w:val="16"/>
                <w:lang w:eastAsia="en-US"/>
              </w:rPr>
            </w:pPr>
            <w:r w:rsidRPr="00AA79B2">
              <w:rPr>
                <w:b/>
                <w:bCs/>
                <w:sz w:val="16"/>
                <w:szCs w:val="16"/>
                <w:lang w:eastAsia="en-US"/>
              </w:rPr>
              <w:t>Par an et par élève</w:t>
            </w:r>
          </w:p>
          <w:p w:rsidR="00D14F05" w:rsidRPr="00AA79B2" w:rsidRDefault="00D14F05" w:rsidP="00490004">
            <w:pPr>
              <w:spacing w:line="276" w:lineRule="auto"/>
              <w:jc w:val="both"/>
              <w:rPr>
                <w:b/>
                <w:bCs/>
                <w:sz w:val="22"/>
                <w:szCs w:val="22"/>
                <w:lang w:eastAsia="en-US"/>
              </w:rPr>
            </w:pPr>
            <w:r w:rsidRPr="00AA79B2">
              <w:rPr>
                <w:b/>
                <w:bCs/>
                <w:sz w:val="16"/>
                <w:szCs w:val="16"/>
                <w:lang w:eastAsia="en-US"/>
              </w:rPr>
              <w:t>(à titre indicatif)</w:t>
            </w:r>
          </w:p>
        </w:tc>
      </w:tr>
      <w:tr w:rsidR="00D14F05" w:rsidRPr="00AA79B2" w:rsidTr="00CC77F4">
        <w:trPr>
          <w:trHeight w:val="832"/>
          <w:jc w:val="center"/>
        </w:trPr>
        <w:tc>
          <w:tcPr>
            <w:tcW w:w="3037" w:type="dxa"/>
            <w:tcBorders>
              <w:top w:val="nil"/>
              <w:left w:val="single" w:sz="4" w:space="0" w:color="auto"/>
              <w:bottom w:val="single" w:sz="4" w:space="0" w:color="auto"/>
              <w:right w:val="single" w:sz="4" w:space="0" w:color="auto"/>
            </w:tcBorders>
            <w:noWrap/>
            <w:vAlign w:val="center"/>
            <w:hideMark/>
          </w:tcPr>
          <w:p w:rsidR="00D14F05" w:rsidRPr="00AA79B2" w:rsidRDefault="006F2839" w:rsidP="00CC77F4">
            <w:pPr>
              <w:spacing w:line="276" w:lineRule="auto"/>
              <w:ind w:left="1526"/>
              <w:jc w:val="both"/>
              <w:rPr>
                <w:sz w:val="22"/>
                <w:szCs w:val="22"/>
                <w:lang w:eastAsia="en-US"/>
              </w:rPr>
            </w:pPr>
            <w:bookmarkStart w:id="0" w:name="_GoBack"/>
            <w:bookmarkEnd w:id="0"/>
            <w:r>
              <w:rPr>
                <w:noProof/>
                <w:sz w:val="22"/>
                <w:szCs w:val="22"/>
              </w:rPr>
              <w:pict>
                <v:shapetype id="_x0000_t202" coordsize="21600,21600" o:spt="202" path="m,l,21600r21600,l21600,xe">
                  <v:stroke joinstyle="miter"/>
                  <v:path gradientshapeok="t" o:connecttype="rect"/>
                </v:shapetype>
                <v:shape id="Zone de texte 1" o:spid="_x0000_s1026" type="#_x0000_t202" style="position:absolute;left:0;text-align:left;margin-left:.95pt;margin-top:3.3pt;width:75.7pt;height:54pt;z-index:2516592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" filled="f" stroked="f">
                  <v:textbox>
                    <w:txbxContent>
                      <w:p w:rsidR="00721425" w:rsidRPr="00CC77F4" w:rsidRDefault="00721425">
                        <w:pPr>
                          <w:rPr>
                            <w:b/>
                            <w:color w:val="FF0000"/>
                            <w:sz w:val="20"/>
                          </w:rPr>
                        </w:pPr>
                        <w:r w:rsidRPr="00CC77F4">
                          <w:rPr>
                            <w:b/>
                            <w:color w:val="FF0000"/>
                            <w:sz w:val="20"/>
                          </w:rPr>
                          <w:t>Tronc commun</w:t>
                        </w:r>
                      </w:p>
                    </w:txbxContent>
                  </v:textbox>
                </v:shape>
              </w:pict>
            </w:r>
            <w:r w:rsidR="00D14F05" w:rsidRPr="00AA79B2">
              <w:rPr>
                <w:sz w:val="22"/>
                <w:szCs w:val="22"/>
                <w:lang w:eastAsia="en-US"/>
              </w:rPr>
              <w:t>Culture économique, juridique et managériale</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627"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rFonts w:eastAsiaTheme="minorHAnsi"/>
                <w:sz w:val="22"/>
                <w:szCs w:val="22"/>
                <w:lang w:eastAsia="en-US"/>
              </w:rPr>
            </w:pPr>
          </w:p>
        </w:tc>
        <w:tc>
          <w:tcPr>
            <w:tcW w:w="127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436" w:type="dxa"/>
            <w:tcBorders>
              <w:top w:val="nil"/>
              <w:left w:val="nil"/>
              <w:bottom w:val="single" w:sz="4" w:space="0" w:color="auto"/>
              <w:right w:val="single" w:sz="4" w:space="0" w:color="auto"/>
            </w:tcBorders>
            <w:vAlign w:val="center"/>
          </w:tcPr>
          <w:p w:rsidR="00D14F05" w:rsidRPr="00AA79B2" w:rsidRDefault="00D14F05" w:rsidP="00490004">
            <w:pPr>
              <w:spacing w:line="276" w:lineRule="auto"/>
              <w:jc w:val="both"/>
              <w:rPr>
                <w:sz w:val="22"/>
                <w:szCs w:val="22"/>
                <w:lang w:eastAsia="en-US"/>
              </w:rPr>
            </w:pPr>
          </w:p>
        </w:tc>
        <w:tc>
          <w:tcPr>
            <w:tcW w:w="1242"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4</w:t>
            </w:r>
          </w:p>
        </w:tc>
        <w:tc>
          <w:tcPr>
            <w:tcW w:w="750"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120</w:t>
            </w:r>
          </w:p>
        </w:tc>
        <w:tc>
          <w:tcPr>
            <w:tcW w:w="764" w:type="dxa"/>
            <w:gridSpan w:val="2"/>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120</w:t>
            </w:r>
          </w:p>
        </w:tc>
      </w:tr>
      <w:tr w:rsidR="00D14F05" w:rsidRPr="00AA79B2" w:rsidTr="00CC77F4">
        <w:trPr>
          <w:trHeight w:val="742"/>
          <w:jc w:val="center"/>
        </w:trPr>
        <w:tc>
          <w:tcPr>
            <w:tcW w:w="3037" w:type="dxa"/>
            <w:tcBorders>
              <w:top w:val="nil"/>
              <w:left w:val="single" w:sz="4" w:space="0" w:color="auto"/>
              <w:bottom w:val="single" w:sz="4" w:space="0" w:color="auto"/>
              <w:right w:val="single" w:sz="4" w:space="0" w:color="auto"/>
            </w:tcBorders>
            <w:noWrap/>
            <w:vAlign w:val="center"/>
            <w:hideMark/>
          </w:tcPr>
          <w:p w:rsidR="00D14F05" w:rsidRPr="00AA79B2" w:rsidRDefault="006F2839" w:rsidP="00CC77F4">
            <w:pPr>
              <w:spacing w:line="276" w:lineRule="auto"/>
              <w:ind w:left="1526"/>
              <w:jc w:val="both"/>
              <w:rPr>
                <w:sz w:val="22"/>
                <w:szCs w:val="22"/>
                <w:lang w:eastAsia="en-US"/>
              </w:rPr>
            </w:pPr>
            <w:r>
              <w:rPr>
                <w:noProof/>
                <w:sz w:val="22"/>
                <w:szCs w:val="22"/>
              </w:rPr>
              <w:pict>
                <v:shape id="Zone de texte 2" o:spid="_x0000_s1027" type="#_x0000_t202" style="position:absolute;left:0;text-align:left;margin-left:-8.05pt;margin-top:15.5pt;width:80.5pt;height:54pt;z-index:25166131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" filled="f" stroked="f">
                  <v:textbox>
                    <w:txbxContent>
                      <w:p w:rsidR="00721425" w:rsidRPr="00C809D8" w:rsidRDefault="00721425" w:rsidP="00CC77F4">
                        <w:pPr>
                          <w:rPr>
                            <w:b/>
                            <w:color w:val="FF0000"/>
                            <w:sz w:val="20"/>
                          </w:rPr>
                        </w:pPr>
                        <w:r w:rsidRPr="00C809D8">
                          <w:rPr>
                            <w:b/>
                            <w:color w:val="FF0000"/>
                            <w:sz w:val="20"/>
                          </w:rPr>
                          <w:t>Enseignement spécifique</w:t>
                        </w:r>
                      </w:p>
                    </w:txbxContent>
                  </v:textbox>
                </v:shape>
              </w:pict>
            </w:r>
            <w:r w:rsidR="00D14F05" w:rsidRPr="00AA79B2">
              <w:rPr>
                <w:sz w:val="22"/>
                <w:szCs w:val="22"/>
                <w:lang w:eastAsia="en-US"/>
              </w:rPr>
              <w:t>Culture économique, juridique et managériale appliquée</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rFonts w:eastAsiaTheme="minorHAnsi"/>
                <w:sz w:val="22"/>
                <w:szCs w:val="22"/>
                <w:lang w:eastAsia="en-US"/>
              </w:rPr>
            </w:pPr>
          </w:p>
        </w:tc>
        <w:tc>
          <w:tcPr>
            <w:tcW w:w="627"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w:t>
            </w:r>
          </w:p>
        </w:tc>
        <w:tc>
          <w:tcPr>
            <w:tcW w:w="127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2</w:t>
            </w:r>
          </w:p>
        </w:tc>
        <w:tc>
          <w:tcPr>
            <w:tcW w:w="726" w:type="dxa"/>
            <w:tcBorders>
              <w:top w:val="nil"/>
              <w:left w:val="nil"/>
              <w:bottom w:val="single" w:sz="4" w:space="0" w:color="auto"/>
              <w:right w:val="single" w:sz="4" w:space="0" w:color="auto"/>
            </w:tcBorders>
            <w:noWrap/>
            <w:vAlign w:val="center"/>
            <w:hideMark/>
          </w:tcPr>
          <w:p w:rsidR="00D14F05" w:rsidRPr="00AA79B2" w:rsidRDefault="00D14F05" w:rsidP="00490004">
            <w:pPr>
              <w:spacing w:line="276" w:lineRule="auto"/>
              <w:jc w:val="both"/>
              <w:rPr>
                <w:rFonts w:eastAsiaTheme="minorHAnsi"/>
                <w:sz w:val="22"/>
                <w:szCs w:val="22"/>
                <w:lang w:eastAsia="en-US"/>
              </w:rPr>
            </w:pPr>
          </w:p>
        </w:tc>
        <w:tc>
          <w:tcPr>
            <w:tcW w:w="436"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1</w:t>
            </w:r>
          </w:p>
        </w:tc>
        <w:tc>
          <w:tcPr>
            <w:tcW w:w="1242"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2</w:t>
            </w:r>
          </w:p>
        </w:tc>
        <w:tc>
          <w:tcPr>
            <w:tcW w:w="750" w:type="dxa"/>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30</w:t>
            </w:r>
          </w:p>
        </w:tc>
        <w:tc>
          <w:tcPr>
            <w:tcW w:w="764" w:type="dxa"/>
            <w:gridSpan w:val="2"/>
            <w:tcBorders>
              <w:top w:val="nil"/>
              <w:left w:val="nil"/>
              <w:bottom w:val="single" w:sz="4" w:space="0" w:color="auto"/>
              <w:right w:val="single" w:sz="4" w:space="0" w:color="auto"/>
            </w:tcBorders>
            <w:vAlign w:val="center"/>
            <w:hideMark/>
          </w:tcPr>
          <w:p w:rsidR="00D14F05" w:rsidRPr="00AA79B2" w:rsidRDefault="00D14F05" w:rsidP="00490004">
            <w:pPr>
              <w:spacing w:line="276" w:lineRule="auto"/>
              <w:jc w:val="both"/>
              <w:rPr>
                <w:sz w:val="22"/>
                <w:szCs w:val="22"/>
                <w:lang w:eastAsia="en-US"/>
              </w:rPr>
            </w:pPr>
            <w:r w:rsidRPr="00AA79B2">
              <w:rPr>
                <w:sz w:val="22"/>
                <w:szCs w:val="22"/>
                <w:lang w:eastAsia="en-US"/>
              </w:rPr>
              <w:t>30</w:t>
            </w:r>
          </w:p>
        </w:tc>
      </w:tr>
    </w:tbl>
    <w:p w:rsidR="00D14F05" w:rsidRDefault="00D14F05" w:rsidP="00490004">
      <w:pPr>
        <w:jc w:val="both"/>
      </w:pPr>
    </w:p>
    <w:p w:rsidR="00D14F05" w:rsidRDefault="00D14F05" w:rsidP="00490004">
      <w:pPr>
        <w:jc w:val="both"/>
      </w:pPr>
    </w:p>
    <w:p w:rsidR="002129AF" w:rsidRPr="00634030" w:rsidRDefault="002129AF" w:rsidP="00634030">
      <w:pPr>
        <w:jc w:val="both"/>
        <w:rPr>
          <w:rFonts w:ascii="Arial" w:hAnsi="Arial" w:cs="Arial"/>
          <w:b/>
          <w:highlight w:val="cyan"/>
        </w:rPr>
      </w:pPr>
      <w:r w:rsidRPr="00634030">
        <w:rPr>
          <w:rFonts w:ascii="Arial" w:hAnsi="Arial" w:cs="Arial"/>
          <w:b/>
          <w:highlight w:val="cyan"/>
        </w:rPr>
        <w:t>Pourquoi cette rénovation</w:t>
      </w:r>
      <w:r w:rsidR="00490004" w:rsidRPr="00634030">
        <w:rPr>
          <w:rFonts w:ascii="Arial" w:hAnsi="Arial" w:cs="Arial"/>
          <w:b/>
          <w:highlight w:val="cyan"/>
        </w:rPr>
        <w:t> ?</w:t>
      </w:r>
    </w:p>
    <w:p w:rsidR="002E5176" w:rsidRDefault="002E5176" w:rsidP="002E5176">
      <w:pPr>
        <w:jc w:val="both"/>
        <w:rPr>
          <w:b/>
        </w:rPr>
      </w:pPr>
    </w:p>
    <w:p w:rsidR="005A6134" w:rsidRPr="00512AA7" w:rsidRDefault="002E5176" w:rsidP="002E5176">
      <w:pPr>
        <w:jc w:val="both"/>
      </w:pPr>
      <w:r w:rsidRPr="00512AA7">
        <w:t>L’ambition première est toute entière contenue dans la nouvelle appellation « culture économique, juridique et managériale ». Au-delà du changement de nom, il s’agit d’affirmer ici que le droit, l’économie et le management constituent les ingrédients essentiels d’une culture que devrait posséder tout cadre de premier niveau et toute personne engagée dans le secteur des services, et même ailleurs. L’enseignement de CEJM revêt une dimension culturelle au sens où il propose aux apprenants de porter un regard cohérent, global et conceptualisé sur leur contexte d’activité, sur leur milieu professionnel et sur leur métier. L’approche culturelle</w:t>
      </w:r>
      <w:r w:rsidR="009B5F50">
        <w:t xml:space="preserve"> propose une lecture </w:t>
      </w:r>
      <w:r w:rsidR="00972D17">
        <w:t xml:space="preserve">qui dépasse </w:t>
      </w:r>
      <w:r w:rsidRPr="00512AA7">
        <w:t xml:space="preserve">un découpage conceptuel entre trois disciplines étanches, mais suppose au contraire </w:t>
      </w:r>
      <w:r w:rsidR="00972D17">
        <w:t xml:space="preserve">une </w:t>
      </w:r>
      <w:r w:rsidRPr="00512AA7">
        <w:t xml:space="preserve">vision articulée et </w:t>
      </w:r>
      <w:r w:rsidR="00972D17">
        <w:t>un croisement des</w:t>
      </w:r>
      <w:r w:rsidRPr="00512AA7">
        <w:t xml:space="preserve"> regards pour répondre aux principales questions que chacun ou chacune peut se poser sur son environnement et son contexte professionnels. </w:t>
      </w:r>
    </w:p>
    <w:p w:rsidR="00462E24" w:rsidRDefault="00972D17" w:rsidP="00490004">
      <w:pPr>
        <w:jc w:val="both"/>
      </w:pPr>
      <w:r>
        <w:lastRenderedPageBreak/>
        <w:t xml:space="preserve">Il est aussi à noter que les </w:t>
      </w:r>
      <w:r w:rsidR="00654090">
        <w:t>référentiels d’activités professionnelles des BTS font référence de plus en plus fréquemment aux champs économique</w:t>
      </w:r>
      <w:r w:rsidR="00634030">
        <w:t>, juridique et managérial</w:t>
      </w:r>
      <w:r w:rsidR="00654090">
        <w:t xml:space="preserve">. Il est donc essentiel de concilier </w:t>
      </w:r>
      <w:r w:rsidR="005A6134">
        <w:t>ces champs de savoirs</w:t>
      </w:r>
      <w:r w:rsidR="00654090">
        <w:t xml:space="preserve"> avec un objectif </w:t>
      </w:r>
      <w:r w:rsidR="0082655D">
        <w:t xml:space="preserve">de professionnalisation </w:t>
      </w:r>
      <w:r>
        <w:t>qui passe par leur plus forte intégration</w:t>
      </w:r>
      <w:r w:rsidR="00654090">
        <w:t xml:space="preserve"> </w:t>
      </w:r>
      <w:r w:rsidR="00702738">
        <w:t xml:space="preserve">aux </w:t>
      </w:r>
      <w:r w:rsidR="00654090">
        <w:t>activités professionnelles.</w:t>
      </w:r>
    </w:p>
    <w:p w:rsidR="002C4803" w:rsidRDefault="002C4803" w:rsidP="00490004">
      <w:pPr>
        <w:jc w:val="both"/>
        <w:rPr>
          <w:b/>
        </w:rPr>
      </w:pPr>
    </w:p>
    <w:p w:rsidR="0088388B" w:rsidRPr="00634030" w:rsidRDefault="0088388B" w:rsidP="00634030">
      <w:pPr>
        <w:jc w:val="both"/>
        <w:rPr>
          <w:rFonts w:ascii="Arial" w:hAnsi="Arial" w:cs="Arial"/>
          <w:b/>
          <w:highlight w:val="cyan"/>
        </w:rPr>
      </w:pPr>
      <w:r w:rsidRPr="00634030">
        <w:rPr>
          <w:rFonts w:ascii="Arial" w:hAnsi="Arial" w:cs="Arial"/>
          <w:b/>
          <w:highlight w:val="cyan"/>
        </w:rPr>
        <w:t>Que propose le tronc commun</w:t>
      </w:r>
      <w:r w:rsidR="00D177AA" w:rsidRPr="00634030">
        <w:rPr>
          <w:rFonts w:ascii="Arial" w:hAnsi="Arial" w:cs="Arial"/>
          <w:b/>
          <w:highlight w:val="cyan"/>
        </w:rPr>
        <w:t xml:space="preserve"> de CEJM</w:t>
      </w:r>
      <w:r w:rsidRPr="00634030">
        <w:rPr>
          <w:rFonts w:ascii="Arial" w:hAnsi="Arial" w:cs="Arial"/>
          <w:b/>
          <w:highlight w:val="cyan"/>
        </w:rPr>
        <w:t> ?</w:t>
      </w:r>
    </w:p>
    <w:p w:rsidR="0088388B" w:rsidRDefault="0088388B" w:rsidP="00490004">
      <w:pPr>
        <w:jc w:val="both"/>
        <w:rPr>
          <w:b/>
        </w:rPr>
      </w:pPr>
    </w:p>
    <w:p w:rsidR="00D177AA" w:rsidRDefault="0088388B" w:rsidP="00D177AA">
      <w:pPr>
        <w:jc w:val="both"/>
      </w:pPr>
      <w:r w:rsidRPr="00D177AA">
        <w:t>Le programme est structuré autour de 6 thématiques</w:t>
      </w:r>
      <w:r w:rsidR="00D177AA">
        <w:t> :</w:t>
      </w:r>
    </w:p>
    <w:p w:rsidR="00D177AA" w:rsidRDefault="00D177AA" w:rsidP="00D177AA">
      <w:pPr>
        <w:numPr>
          <w:ilvl w:val="0"/>
          <w:numId w:val="2"/>
        </w:numPr>
        <w:jc w:val="both"/>
      </w:pPr>
      <w:r w:rsidRPr="00D177AA">
        <w:t>L’intégration de l’entreprise dans son environnement</w:t>
      </w:r>
    </w:p>
    <w:p w:rsidR="00D177AA" w:rsidRDefault="00D177AA" w:rsidP="00D177AA">
      <w:pPr>
        <w:numPr>
          <w:ilvl w:val="0"/>
          <w:numId w:val="2"/>
        </w:numPr>
        <w:jc w:val="both"/>
      </w:pPr>
      <w:r w:rsidRPr="00D177AA">
        <w:t>La régulation de l’activité économique</w:t>
      </w:r>
    </w:p>
    <w:p w:rsidR="00D177AA" w:rsidRDefault="00D177AA" w:rsidP="00D177AA">
      <w:pPr>
        <w:numPr>
          <w:ilvl w:val="0"/>
          <w:numId w:val="2"/>
        </w:numPr>
        <w:jc w:val="both"/>
      </w:pPr>
      <w:r w:rsidRPr="00D177AA">
        <w:t>L’organisation de l’activité de l’entreprise</w:t>
      </w:r>
    </w:p>
    <w:p w:rsidR="00D177AA" w:rsidRDefault="00D177AA" w:rsidP="00D177AA">
      <w:pPr>
        <w:numPr>
          <w:ilvl w:val="0"/>
          <w:numId w:val="2"/>
        </w:numPr>
        <w:jc w:val="both"/>
      </w:pPr>
      <w:r w:rsidRPr="00D177AA">
        <w:t>L’impact du numérique sur la vie de l’entreprise</w:t>
      </w:r>
    </w:p>
    <w:p w:rsidR="00D177AA" w:rsidRPr="00D177AA" w:rsidRDefault="00D177AA" w:rsidP="00D177AA">
      <w:pPr>
        <w:numPr>
          <w:ilvl w:val="0"/>
          <w:numId w:val="2"/>
        </w:numPr>
        <w:jc w:val="both"/>
      </w:pPr>
      <w:r>
        <w:t>L</w:t>
      </w:r>
      <w:r w:rsidRPr="00D177AA">
        <w:t>es mutations du travail</w:t>
      </w:r>
    </w:p>
    <w:p w:rsidR="00D177AA" w:rsidRPr="00D177AA" w:rsidRDefault="00D177AA" w:rsidP="00D177AA">
      <w:pPr>
        <w:numPr>
          <w:ilvl w:val="0"/>
          <w:numId w:val="2"/>
        </w:numPr>
        <w:jc w:val="both"/>
      </w:pPr>
      <w:r w:rsidRPr="00D177AA">
        <w:t>Les choix stratégiques de l’entreprise</w:t>
      </w:r>
    </w:p>
    <w:p w:rsidR="00D177AA" w:rsidRDefault="00D177AA" w:rsidP="00D177AA">
      <w:pPr>
        <w:jc w:val="both"/>
      </w:pPr>
    </w:p>
    <w:p w:rsidR="0088388B" w:rsidRPr="00D177AA" w:rsidRDefault="00D177AA" w:rsidP="00D177AA">
      <w:pPr>
        <w:jc w:val="both"/>
      </w:pPr>
      <w:r w:rsidRPr="00D177AA">
        <w:t>Chaque thématique présente u</w:t>
      </w:r>
      <w:r w:rsidR="0088388B" w:rsidRPr="00D177AA">
        <w:t xml:space="preserve">n contexte </w:t>
      </w:r>
      <w:r w:rsidRPr="00D177AA">
        <w:t>et des ressources utilisables.</w:t>
      </w:r>
      <w:r>
        <w:t xml:space="preserve"> Elle se</w:t>
      </w:r>
      <w:r w:rsidR="0088388B" w:rsidRPr="00D177AA">
        <w:t xml:space="preserve"> décline en plusieurs questions (entre 2 et 5), chacune associée à un champ disciplinaire privilégié. L’ensemble des questions favorise : </w:t>
      </w:r>
    </w:p>
    <w:p w:rsidR="0088388B" w:rsidRPr="00D177AA" w:rsidRDefault="0088388B" w:rsidP="00972D17">
      <w:pPr>
        <w:numPr>
          <w:ilvl w:val="0"/>
          <w:numId w:val="2"/>
        </w:numPr>
        <w:jc w:val="both"/>
      </w:pPr>
      <w:r w:rsidRPr="00D177AA">
        <w:t>La complémentarité des approches disciplinaires</w:t>
      </w:r>
    </w:p>
    <w:p w:rsidR="0088388B" w:rsidRPr="00D177AA" w:rsidRDefault="0088388B" w:rsidP="00972D17">
      <w:pPr>
        <w:numPr>
          <w:ilvl w:val="0"/>
          <w:numId w:val="2"/>
        </w:numPr>
        <w:jc w:val="both"/>
      </w:pPr>
      <w:r w:rsidRPr="00D177AA">
        <w:t>La formulation de réponse à des questions auxquelles l’entreprise est confrontée</w:t>
      </w:r>
    </w:p>
    <w:p w:rsidR="0088388B" w:rsidRDefault="0088388B" w:rsidP="00972D17">
      <w:pPr>
        <w:numPr>
          <w:ilvl w:val="0"/>
          <w:numId w:val="2"/>
        </w:numPr>
        <w:jc w:val="both"/>
      </w:pPr>
      <w:r w:rsidRPr="00D177AA">
        <w:t>La mobilisation de méthodologie et savoirs spécifiques à chacune des disciplines.</w:t>
      </w:r>
    </w:p>
    <w:p w:rsidR="00881284" w:rsidRDefault="00881284" w:rsidP="00881284">
      <w:pPr>
        <w:jc w:val="both"/>
      </w:pPr>
    </w:p>
    <w:p w:rsidR="00881284" w:rsidRPr="00881284" w:rsidRDefault="00881284" w:rsidP="002E5176">
      <w:pPr>
        <w:jc w:val="both"/>
        <w:outlineLvl w:val="0"/>
        <w:rPr>
          <w:u w:val="single"/>
        </w:rPr>
      </w:pPr>
      <w:r w:rsidRPr="00881284">
        <w:rPr>
          <w:u w:val="single"/>
        </w:rPr>
        <w:t>Exemple :</w:t>
      </w:r>
    </w:p>
    <w:p w:rsidR="00881284" w:rsidRDefault="00881284" w:rsidP="00881284">
      <w:pPr>
        <w:jc w:val="both"/>
      </w:pPr>
      <w:r>
        <w:rPr>
          <w:noProof/>
        </w:rPr>
        <w:drawing>
          <wp:inline distT="0" distB="0" distL="0" distR="0">
            <wp:extent cx="5756910" cy="3652518"/>
            <wp:effectExtent l="0" t="0" r="8890" b="5715"/>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6910" cy="3652518"/>
                    </a:xfrm>
                    <a:prstGeom prst="rect">
                      <a:avLst/>
                    </a:prstGeom>
                    <a:noFill/>
                    <a:ln>
                      <a:noFill/>
                    </a:ln>
                  </pic:spPr>
                </pic:pic>
              </a:graphicData>
            </a:graphic>
          </wp:inline>
        </w:drawing>
      </w:r>
    </w:p>
    <w:p w:rsidR="00881284" w:rsidRDefault="001E2027" w:rsidP="00881284">
      <w:pPr>
        <w:jc w:val="both"/>
      </w:pPr>
      <w:r>
        <w:rPr>
          <w:noProof/>
        </w:rPr>
        <w:lastRenderedPageBreak/>
        <w:drawing>
          <wp:inline distT="0" distB="0" distL="0" distR="0">
            <wp:extent cx="5756910" cy="1317814"/>
            <wp:effectExtent l="0" t="0" r="8890" b="3175"/>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6910" cy="1317814"/>
                    </a:xfrm>
                    <a:prstGeom prst="rect">
                      <a:avLst/>
                    </a:prstGeom>
                    <a:noFill/>
                    <a:ln>
                      <a:noFill/>
                    </a:ln>
                  </pic:spPr>
                </pic:pic>
              </a:graphicData>
            </a:graphic>
          </wp:inline>
        </w:drawing>
      </w:r>
    </w:p>
    <w:p w:rsidR="00D52749" w:rsidRDefault="00881284" w:rsidP="00D52749">
      <w:pPr>
        <w:jc w:val="both"/>
      </w:pPr>
      <w:r>
        <w:t xml:space="preserve">Cet exemple met en lumière </w:t>
      </w:r>
      <w:r w:rsidR="00D52749">
        <w:t xml:space="preserve">l’étroite relation entre l’enseignement de CEJM tronc commun et les enseignements professionnels. Certains contenus </w:t>
      </w:r>
      <w:r w:rsidR="00917F08">
        <w:t>montrent</w:t>
      </w:r>
      <w:r w:rsidR="00D52749">
        <w:t xml:space="preserve"> en effet en forte connexion avec le</w:t>
      </w:r>
      <w:r w:rsidR="00917F08">
        <w:t>s</w:t>
      </w:r>
      <w:r w:rsidR="00D52749">
        <w:t xml:space="preserve"> </w:t>
      </w:r>
      <w:r w:rsidR="00D52749" w:rsidRPr="00D52749">
        <w:t>pôle</w:t>
      </w:r>
      <w:r w:rsidR="00917F08">
        <w:t xml:space="preserve">s </w:t>
      </w:r>
      <w:r w:rsidR="00917F08" w:rsidRPr="00D52749">
        <w:t>d’activités</w:t>
      </w:r>
      <w:r w:rsidR="00917F08">
        <w:t xml:space="preserve"> 1 et </w:t>
      </w:r>
      <w:r w:rsidR="00D52749" w:rsidRPr="00D52749">
        <w:t xml:space="preserve"> 2 </w:t>
      </w:r>
      <w:r w:rsidR="00917F08">
        <w:t xml:space="preserve">et sont à articuler avec les savoirs juridiques décrits dans les blocs de compétence 1 et 2, entre autres : </w:t>
      </w:r>
    </w:p>
    <w:p w:rsidR="00915A9B" w:rsidRPr="00915A9B" w:rsidRDefault="00915A9B" w:rsidP="00915A9B">
      <w:pPr>
        <w:pStyle w:val="Paragraphedeliste"/>
        <w:numPr>
          <w:ilvl w:val="0"/>
          <w:numId w:val="4"/>
        </w:numPr>
        <w:jc w:val="both"/>
        <w:rPr>
          <w:rFonts w:cstheme="minorHAnsi"/>
          <w:szCs w:val="22"/>
        </w:rPr>
      </w:pPr>
      <w:r w:rsidRPr="00915A9B">
        <w:rPr>
          <w:rFonts w:cstheme="minorHAnsi"/>
          <w:szCs w:val="22"/>
        </w:rPr>
        <w:t>Protection des données (droits et obligations)</w:t>
      </w:r>
    </w:p>
    <w:p w:rsidR="00915A9B" w:rsidRPr="00915A9B" w:rsidRDefault="00915A9B" w:rsidP="00915A9B">
      <w:pPr>
        <w:pStyle w:val="Standard"/>
        <w:numPr>
          <w:ilvl w:val="0"/>
          <w:numId w:val="4"/>
        </w:numPr>
        <w:pBdr>
          <w:top w:val="nil"/>
          <w:left w:val="nil"/>
          <w:bottom w:val="nil"/>
          <w:right w:val="nil"/>
          <w:between w:val="nil"/>
        </w:pBdr>
        <w:rPr>
          <w:rFonts w:asciiTheme="minorHAnsi" w:hAnsiTheme="minorHAnsi" w:cstheme="minorHAnsi"/>
          <w:b w:val="0"/>
          <w:szCs w:val="22"/>
        </w:rPr>
      </w:pPr>
      <w:r w:rsidRPr="00915A9B">
        <w:rPr>
          <w:rFonts w:asciiTheme="minorHAnsi" w:hAnsiTheme="minorHAnsi" w:cstheme="minorHAnsi"/>
          <w:b w:val="0"/>
          <w:szCs w:val="22"/>
        </w:rPr>
        <w:t xml:space="preserve">Droit du </w:t>
      </w:r>
      <w:r w:rsidRPr="00915A9B">
        <w:rPr>
          <w:rFonts w:asciiTheme="minorHAnsi" w:hAnsiTheme="minorHAnsi" w:cstheme="minorHAnsi"/>
          <w:b w:val="0"/>
          <w:i/>
          <w:szCs w:val="22"/>
        </w:rPr>
        <w:t>web</w:t>
      </w:r>
      <w:r w:rsidRPr="00915A9B">
        <w:rPr>
          <w:rFonts w:asciiTheme="minorHAnsi" w:hAnsiTheme="minorHAnsi" w:cstheme="minorHAnsi"/>
          <w:b w:val="0"/>
          <w:szCs w:val="22"/>
        </w:rPr>
        <w:t> : contrats numériques, propriété intellectuelle, protection des données personnelles, droit à l’image, responsabilités des prestataires, droit des marques</w:t>
      </w:r>
    </w:p>
    <w:p w:rsidR="00915A9B" w:rsidRPr="00915A9B" w:rsidRDefault="00915A9B" w:rsidP="00915A9B">
      <w:pPr>
        <w:pStyle w:val="Paragraphedeliste"/>
        <w:numPr>
          <w:ilvl w:val="0"/>
          <w:numId w:val="4"/>
        </w:numPr>
        <w:jc w:val="both"/>
        <w:rPr>
          <w:b/>
          <w:sz w:val="28"/>
        </w:rPr>
      </w:pPr>
      <w:r w:rsidRPr="00915A9B">
        <w:rPr>
          <w:rFonts w:cstheme="minorHAnsi"/>
          <w:szCs w:val="22"/>
        </w:rPr>
        <w:t xml:space="preserve">Droit de la consommation (information et protection du consommateur en matière de transactions </w:t>
      </w:r>
      <w:r w:rsidRPr="00915A9B">
        <w:rPr>
          <w:rFonts w:cstheme="minorHAnsi"/>
          <w:i/>
          <w:szCs w:val="22"/>
        </w:rPr>
        <w:t>web</w:t>
      </w:r>
      <w:r w:rsidRPr="00915A9B">
        <w:rPr>
          <w:rFonts w:cstheme="minorHAnsi"/>
          <w:szCs w:val="22"/>
        </w:rPr>
        <w:t>)</w:t>
      </w:r>
    </w:p>
    <w:p w:rsidR="00881284" w:rsidRDefault="00881284" w:rsidP="00881284">
      <w:pPr>
        <w:jc w:val="both"/>
      </w:pPr>
    </w:p>
    <w:p w:rsidR="0088388B" w:rsidRPr="00D177AA" w:rsidRDefault="00EB0D20" w:rsidP="002E5176">
      <w:pPr>
        <w:jc w:val="both"/>
        <w:outlineLvl w:val="0"/>
      </w:pPr>
      <w:r>
        <w:t xml:space="preserve">Pour en savoir plus : cf. le programme sur le site du </w:t>
      </w:r>
      <w:hyperlink r:id="rId8" w:history="1">
        <w:r w:rsidRPr="00EB0D20">
          <w:rPr>
            <w:rStyle w:val="Lienhypertexte"/>
          </w:rPr>
          <w:t>CRCOM</w:t>
        </w:r>
      </w:hyperlink>
    </w:p>
    <w:p w:rsidR="0088388B" w:rsidRDefault="0088388B" w:rsidP="00490004">
      <w:pPr>
        <w:jc w:val="both"/>
        <w:rPr>
          <w:b/>
        </w:rPr>
      </w:pPr>
    </w:p>
    <w:p w:rsidR="00023C22" w:rsidRDefault="00023C22" w:rsidP="00490004">
      <w:pPr>
        <w:jc w:val="both"/>
        <w:rPr>
          <w:b/>
        </w:rPr>
      </w:pPr>
    </w:p>
    <w:p w:rsidR="002C4803" w:rsidRDefault="002C4803" w:rsidP="00490004">
      <w:pPr>
        <w:jc w:val="both"/>
        <w:rPr>
          <w:rFonts w:ascii="Arial" w:hAnsi="Arial" w:cs="Arial"/>
          <w:b/>
          <w:highlight w:val="cyan"/>
        </w:rPr>
      </w:pPr>
      <w:r w:rsidRPr="00634030">
        <w:rPr>
          <w:rFonts w:ascii="Arial" w:hAnsi="Arial" w:cs="Arial"/>
          <w:b/>
          <w:highlight w:val="cyan"/>
        </w:rPr>
        <w:t xml:space="preserve">Comment sont </w:t>
      </w:r>
      <w:r w:rsidR="007E45D0">
        <w:rPr>
          <w:rFonts w:ascii="Arial" w:hAnsi="Arial" w:cs="Arial"/>
          <w:b/>
          <w:highlight w:val="cyan"/>
        </w:rPr>
        <w:t>évaluées les compétences travaillées en CEJM et CEJM appliquée</w:t>
      </w:r>
      <w:r w:rsidRPr="00634030">
        <w:rPr>
          <w:rFonts w:ascii="Arial" w:hAnsi="Arial" w:cs="Arial"/>
          <w:b/>
          <w:highlight w:val="cyan"/>
        </w:rPr>
        <w:t> ?</w:t>
      </w:r>
    </w:p>
    <w:p w:rsidR="00DB69C3" w:rsidRPr="00634030" w:rsidRDefault="00DB69C3" w:rsidP="00490004">
      <w:pPr>
        <w:jc w:val="both"/>
        <w:rPr>
          <w:rFonts w:ascii="Arial" w:hAnsi="Arial" w:cs="Arial"/>
          <w:b/>
          <w:highlight w:val="cyan"/>
        </w:rPr>
      </w:pPr>
    </w:p>
    <w:p w:rsidR="002E2B68" w:rsidRDefault="0038719F" w:rsidP="00DB69C3">
      <w:pPr>
        <w:jc w:val="center"/>
        <w:rPr>
          <w:b/>
        </w:rPr>
      </w:pPr>
      <w:r w:rsidRPr="0038719F">
        <w:rPr>
          <w:b/>
          <w:noProof/>
        </w:rPr>
        <w:lastRenderedPageBreak/>
        <w:drawing>
          <wp:inline distT="0" distB="0" distL="0" distR="0">
            <wp:extent cx="4599727" cy="563880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628856" cy="5674509"/>
                    </a:xfrm>
                    <a:prstGeom prst="rect">
                      <a:avLst/>
                    </a:prstGeom>
                  </pic:spPr>
                </pic:pic>
              </a:graphicData>
            </a:graphic>
          </wp:inline>
        </w:drawing>
      </w:r>
    </w:p>
    <w:p w:rsidR="002C4803" w:rsidRPr="00634030" w:rsidRDefault="002C4803" w:rsidP="00490004">
      <w:pPr>
        <w:jc w:val="both"/>
        <w:rPr>
          <w:rFonts w:ascii="Arial" w:hAnsi="Arial" w:cs="Arial"/>
          <w:b/>
          <w:highlight w:val="cyan"/>
        </w:rPr>
      </w:pPr>
      <w:bookmarkStart w:id="1" w:name="_Hlk507133447"/>
      <w:r w:rsidRPr="00634030">
        <w:rPr>
          <w:rFonts w:ascii="Arial" w:hAnsi="Arial" w:cs="Arial"/>
          <w:b/>
          <w:highlight w:val="cyan"/>
        </w:rPr>
        <w:t xml:space="preserve">Qui est en charge de </w:t>
      </w:r>
      <w:r w:rsidR="00DD7061" w:rsidRPr="00634030">
        <w:rPr>
          <w:rFonts w:ascii="Arial" w:hAnsi="Arial" w:cs="Arial"/>
          <w:b/>
          <w:highlight w:val="cyan"/>
        </w:rPr>
        <w:t>l’</w:t>
      </w:r>
      <w:r w:rsidRPr="00634030">
        <w:rPr>
          <w:rFonts w:ascii="Arial" w:hAnsi="Arial" w:cs="Arial"/>
          <w:b/>
          <w:highlight w:val="cyan"/>
        </w:rPr>
        <w:t>enseignement </w:t>
      </w:r>
      <w:r w:rsidR="00DD7061" w:rsidRPr="00634030">
        <w:rPr>
          <w:rFonts w:ascii="Arial" w:hAnsi="Arial" w:cs="Arial"/>
          <w:b/>
          <w:highlight w:val="cyan"/>
        </w:rPr>
        <w:t xml:space="preserve">de Culture économique, juridique et managériale appliquée </w:t>
      </w:r>
      <w:r w:rsidRPr="00634030">
        <w:rPr>
          <w:rFonts w:ascii="Arial" w:hAnsi="Arial" w:cs="Arial"/>
          <w:b/>
          <w:highlight w:val="cyan"/>
        </w:rPr>
        <w:t>?</w:t>
      </w:r>
    </w:p>
    <w:bookmarkEnd w:id="1"/>
    <w:p w:rsidR="00795174" w:rsidRDefault="00795174" w:rsidP="00490004">
      <w:pPr>
        <w:jc w:val="both"/>
        <w:rPr>
          <w:b/>
        </w:rPr>
      </w:pPr>
    </w:p>
    <w:p w:rsidR="009F7A61" w:rsidRPr="00160966" w:rsidRDefault="007B0B54" w:rsidP="00490004">
      <w:pPr>
        <w:jc w:val="both"/>
      </w:pPr>
      <w:bookmarkStart w:id="2" w:name="_Hlk507133511"/>
      <w:r w:rsidRPr="00160966">
        <w:t>Il n’y a</w:t>
      </w:r>
      <w:r w:rsidRPr="00160966">
        <w:tab/>
        <w:t xml:space="preserve"> pas à fixer le ou les intervenants pour CEJM et CEJM appliquée. Ce sont l</w:t>
      </w:r>
      <w:r w:rsidR="00795174" w:rsidRPr="00160966">
        <w:t>es réalités locales</w:t>
      </w:r>
      <w:r w:rsidR="00722D4E" w:rsidRPr="00160966">
        <w:t xml:space="preserve">, fondées sur les compétences </w:t>
      </w:r>
      <w:r w:rsidR="00E53121" w:rsidRPr="00160966">
        <w:t>présentes au sein des équipes, des équilibres organisationnels</w:t>
      </w:r>
      <w:r w:rsidRPr="00160966">
        <w:t xml:space="preserve"> et surtout les </w:t>
      </w:r>
      <w:r w:rsidR="00E53121" w:rsidRPr="00160966">
        <w:t xml:space="preserve">es projets pédagogiques </w:t>
      </w:r>
      <w:r w:rsidRPr="00160966">
        <w:t>des équipes qui le déterminent.</w:t>
      </w:r>
      <w:r w:rsidR="00E53121" w:rsidRPr="00160966">
        <w:t>,</w:t>
      </w:r>
      <w:r w:rsidR="00795174" w:rsidRPr="00160966">
        <w:t xml:space="preserve"> peuvent conduire à des organ</w:t>
      </w:r>
      <w:r w:rsidR="00160966">
        <w:t>isations pédagogiques diverses.</w:t>
      </w:r>
      <w:r w:rsidR="009F7A61" w:rsidRPr="00160966">
        <w:t xml:space="preserve"> Quelques </w:t>
      </w:r>
      <w:r w:rsidRPr="00160966">
        <w:t xml:space="preserve">principes </w:t>
      </w:r>
      <w:r w:rsidR="009F7A61" w:rsidRPr="00160966">
        <w:t xml:space="preserve">peuvent guider la réflexion des équipes </w:t>
      </w:r>
      <w:r w:rsidR="00C30390" w:rsidRPr="00160966">
        <w:t>pédagogiques :</w:t>
      </w:r>
    </w:p>
    <w:p w:rsidR="00D11A7F" w:rsidRPr="00160966" w:rsidRDefault="00D11A7F" w:rsidP="00490004">
      <w:pPr>
        <w:jc w:val="both"/>
      </w:pPr>
    </w:p>
    <w:p w:rsidR="00C65207" w:rsidRPr="00160966" w:rsidRDefault="009F7A61" w:rsidP="00C65207">
      <w:pPr>
        <w:pStyle w:val="Paragraphedeliste"/>
        <w:numPr>
          <w:ilvl w:val="0"/>
          <w:numId w:val="5"/>
        </w:numPr>
        <w:jc w:val="both"/>
      </w:pPr>
      <w:r w:rsidRPr="00160966">
        <w:t>L</w:t>
      </w:r>
      <w:r w:rsidR="00795174" w:rsidRPr="00160966">
        <w:t>e professeur</w:t>
      </w:r>
      <w:r w:rsidR="007B0B54" w:rsidRPr="00160966">
        <w:t xml:space="preserve"> en charge</w:t>
      </w:r>
      <w:r w:rsidR="006E73D8" w:rsidRPr="00160966">
        <w:t xml:space="preserve"> </w:t>
      </w:r>
      <w:r w:rsidR="00795174" w:rsidRPr="00160966">
        <w:t>de CEJM appliquée doit être en mesure de conduire les approfondissements professionnels attendus.</w:t>
      </w:r>
      <w:r w:rsidR="00C65207" w:rsidRPr="00160966">
        <w:t xml:space="preserve"> Pour cela, il doit être réellement imprégné des contexte</w:t>
      </w:r>
      <w:r w:rsidR="007B0B54" w:rsidRPr="00160966">
        <w:t>s</w:t>
      </w:r>
      <w:r w:rsidR="00C65207" w:rsidRPr="00160966">
        <w:t xml:space="preserve"> professionnel</w:t>
      </w:r>
      <w:r w:rsidR="007B0B54" w:rsidRPr="00160966">
        <w:t>s liés aux activités couvertes par le BTS NDRC,</w:t>
      </w:r>
      <w:r w:rsidR="00C65207" w:rsidRPr="00160966">
        <w:t xml:space="preserve"> qui permettront de conduire les compléments de manière satisfaisante.</w:t>
      </w:r>
    </w:p>
    <w:p w:rsidR="009F7A61" w:rsidRPr="00160966" w:rsidRDefault="007B0B54" w:rsidP="009F7A61">
      <w:pPr>
        <w:pStyle w:val="Paragraphedeliste"/>
        <w:numPr>
          <w:ilvl w:val="0"/>
          <w:numId w:val="5"/>
        </w:numPr>
        <w:jc w:val="both"/>
      </w:pPr>
      <w:r w:rsidRPr="00160966">
        <w:t>Une coordination et une articulation très fortes doivent être trouvées avec le</w:t>
      </w:r>
      <w:r w:rsidR="009F7A61" w:rsidRPr="00160966">
        <w:t xml:space="preserve"> « tronc commun » et </w:t>
      </w:r>
      <w:r w:rsidRPr="00160966">
        <w:t>l</w:t>
      </w:r>
      <w:r w:rsidR="009F7A61" w:rsidRPr="00160966">
        <w:t>es différents blocs de compétences</w:t>
      </w:r>
      <w:r w:rsidR="00DB268F" w:rsidRPr="00160966">
        <w:t>.</w:t>
      </w:r>
    </w:p>
    <w:p w:rsidR="00795174" w:rsidRPr="00160966" w:rsidRDefault="007B0B54" w:rsidP="009F7A61">
      <w:pPr>
        <w:pStyle w:val="Paragraphedeliste"/>
        <w:numPr>
          <w:ilvl w:val="0"/>
          <w:numId w:val="5"/>
        </w:numPr>
        <w:jc w:val="both"/>
      </w:pPr>
      <w:r w:rsidRPr="00160966">
        <w:t>Au sein</w:t>
      </w:r>
      <w:r w:rsidR="00795174" w:rsidRPr="00160966">
        <w:t xml:space="preserve"> des différents blocs de compétences</w:t>
      </w:r>
      <w:r w:rsidRPr="00160966">
        <w:t xml:space="preserve"> peut aussi être pris en charge</w:t>
      </w:r>
      <w:r w:rsidR="003D0B9E" w:rsidRPr="00160966">
        <w:t xml:space="preserve"> le développement de contenus économiques, juridiques et managériaux.</w:t>
      </w:r>
    </w:p>
    <w:p w:rsidR="003D0B9E" w:rsidRDefault="003D0B9E" w:rsidP="009F7A61">
      <w:pPr>
        <w:pStyle w:val="Paragraphedeliste"/>
        <w:numPr>
          <w:ilvl w:val="0"/>
          <w:numId w:val="5"/>
        </w:numPr>
        <w:jc w:val="both"/>
      </w:pPr>
      <w:r w:rsidRPr="00160966">
        <w:lastRenderedPageBreak/>
        <w:t>L’ensemble de l’équipe pédagogique pourra, dans le cadre des contextes proposés et des ressources mobilisées dans les ateliers de professionna</w:t>
      </w:r>
      <w:r w:rsidR="00722D4E" w:rsidRPr="00160966">
        <w:t xml:space="preserve">lisation, convoquer des éléments propres à la CEJM. Selon le cas, et en fonction de </w:t>
      </w:r>
      <w:r w:rsidR="0036128B" w:rsidRPr="00160966">
        <w:t xml:space="preserve">l’intérêt pour les étudiants, pourront être prévus </w:t>
      </w:r>
      <w:r w:rsidR="00722D4E" w:rsidRPr="00160966">
        <w:t>des temps de co-animation.</w:t>
      </w:r>
    </w:p>
    <w:p w:rsidR="007E45D0" w:rsidRPr="00160966" w:rsidRDefault="007E45D0" w:rsidP="009F7A61">
      <w:pPr>
        <w:pStyle w:val="Paragraphedeliste"/>
        <w:numPr>
          <w:ilvl w:val="0"/>
          <w:numId w:val="5"/>
        </w:numPr>
        <w:jc w:val="both"/>
      </w:pPr>
      <w:r>
        <w:t>Le traitement temporel des contenus propres à CEJM appliquée peut être pensé en relation forte avec les thématiques de CEJM. Pour répondre, au fil des deux années de formation, aux besoins des étudiants qui émergent des situations professionnelles et assurer la coordination entre CEJM, CEJM appliquée, les blocs et les ateliers, il convient de prévoir une mise en ligne</w:t>
      </w:r>
      <w:r w:rsidR="006B5DB8">
        <w:t>/un partage des contenus traités. Une base de ressources partagées est ainsi à construire progressivement.</w:t>
      </w:r>
    </w:p>
    <w:bookmarkEnd w:id="2"/>
    <w:p w:rsidR="00373B5D" w:rsidRDefault="00373B5D" w:rsidP="00490004">
      <w:pPr>
        <w:jc w:val="both"/>
        <w:rPr>
          <w:b/>
        </w:rPr>
      </w:pPr>
    </w:p>
    <w:p w:rsidR="004C3614" w:rsidRPr="00653EA6" w:rsidRDefault="00E53121" w:rsidP="004C3614">
      <w:pPr>
        <w:jc w:val="both"/>
        <w:rPr>
          <w:rFonts w:ascii="Arial" w:hAnsi="Arial" w:cs="Arial"/>
          <w:b/>
          <w:highlight w:val="cyan"/>
        </w:rPr>
      </w:pPr>
      <w:r w:rsidRPr="00634030">
        <w:rPr>
          <w:rFonts w:ascii="Arial" w:hAnsi="Arial" w:cs="Arial"/>
          <w:b/>
          <w:highlight w:val="cyan"/>
        </w:rPr>
        <w:t>Quel</w:t>
      </w:r>
      <w:r w:rsidR="004C3614">
        <w:rPr>
          <w:rFonts w:ascii="Arial" w:hAnsi="Arial" w:cs="Arial"/>
          <w:b/>
          <w:highlight w:val="cyan"/>
        </w:rPr>
        <w:t>s contenus pour CEJM appliquée et q</w:t>
      </w:r>
      <w:r w:rsidR="004C3614" w:rsidRPr="00653EA6">
        <w:rPr>
          <w:rFonts w:ascii="Arial" w:hAnsi="Arial" w:cs="Arial"/>
          <w:b/>
          <w:highlight w:val="cyan"/>
        </w:rPr>
        <w:t>uelle stratégie pour développer les savoirs économiques juridiques et managériaux en lien avec les compétences professionnelles ?</w:t>
      </w:r>
    </w:p>
    <w:p w:rsidR="0086238B" w:rsidRDefault="0086238B" w:rsidP="00490004">
      <w:pPr>
        <w:jc w:val="both"/>
        <w:rPr>
          <w:b/>
        </w:rPr>
      </w:pPr>
    </w:p>
    <w:p w:rsidR="00653EA6" w:rsidRDefault="0086238B" w:rsidP="00490004">
      <w:pPr>
        <w:jc w:val="both"/>
      </w:pPr>
      <w:r w:rsidRPr="0086238B">
        <w:t xml:space="preserve">Les contenus sont à retrouver </w:t>
      </w:r>
      <w:r>
        <w:t>dans les savoirs associés aux différents blocs de compétences.</w:t>
      </w:r>
      <w:r w:rsidR="00635FDB">
        <w:t xml:space="preserve"> Comme vu plus haut, ces savoirs peuvent être mis en relation avec les thèmes propres au programme de CEJM tronc commun. Le tableau </w:t>
      </w:r>
      <w:r w:rsidR="002F6E91">
        <w:t>de la page suivant</w:t>
      </w:r>
      <w:r w:rsidR="004C3614">
        <w:t>e</w:t>
      </w:r>
      <w:r w:rsidR="00635FDB">
        <w:t xml:space="preserve"> propose une représentation synoptique des </w:t>
      </w:r>
      <w:r w:rsidR="00DD7C79">
        <w:t xml:space="preserve">différents liens entre les éléments de savoirs tronc commun et ceux associés au domaine professionnel. </w:t>
      </w:r>
    </w:p>
    <w:p w:rsidR="00653EA6" w:rsidRDefault="00653EA6" w:rsidP="00490004">
      <w:pPr>
        <w:jc w:val="both"/>
      </w:pPr>
    </w:p>
    <w:p w:rsidR="00653EA6" w:rsidRDefault="00653EA6" w:rsidP="00490004">
      <w:pPr>
        <w:jc w:val="both"/>
      </w:pPr>
      <w:r>
        <w:t xml:space="preserve">La lecture </w:t>
      </w:r>
      <w:r w:rsidR="00CC13B6">
        <w:t xml:space="preserve">du tableau </w:t>
      </w:r>
      <w:r>
        <w:t>peut être opérée de deux manières :</w:t>
      </w:r>
    </w:p>
    <w:p w:rsidR="00653EA6" w:rsidRDefault="00653EA6" w:rsidP="00490004">
      <w:pPr>
        <w:jc w:val="both"/>
      </w:pPr>
    </w:p>
    <w:p w:rsidR="00653EA6" w:rsidRDefault="00653EA6" w:rsidP="00653EA6">
      <w:pPr>
        <w:pStyle w:val="Paragraphedeliste"/>
        <w:numPr>
          <w:ilvl w:val="0"/>
          <w:numId w:val="5"/>
        </w:numPr>
        <w:jc w:val="both"/>
      </w:pPr>
      <w:r>
        <w:t>L’on peut entrer dans le tableau de manière verticale, c’est à dire par les savoirs économiques, juridiques et managériaux incorporés dans les blocs de compétence et voir comment ils prolongent les thématiques proposées en CEJM tronc commun,</w:t>
      </w:r>
      <w:r w:rsidR="00CC13B6">
        <w:br/>
      </w:r>
    </w:p>
    <w:p w:rsidR="00AE1214" w:rsidRDefault="00653EA6" w:rsidP="00653EA6">
      <w:pPr>
        <w:pStyle w:val="Paragraphedeliste"/>
        <w:numPr>
          <w:ilvl w:val="0"/>
          <w:numId w:val="5"/>
        </w:numPr>
        <w:jc w:val="both"/>
      </w:pPr>
      <w:r>
        <w:t>L’on peut aussi privilégier une lecture horizontale laquelle permet de pointer plusieurs prolongement</w:t>
      </w:r>
      <w:r w:rsidR="00AE1214">
        <w:t>s</w:t>
      </w:r>
      <w:r>
        <w:t xml:space="preserve"> du tronc commun</w:t>
      </w:r>
      <w:r w:rsidR="00AE1214">
        <w:t xml:space="preserve"> vers les savoirs attendus dans les champs professionnels spécifiques au BTS NDRC.</w:t>
      </w:r>
    </w:p>
    <w:p w:rsidR="002F6E91" w:rsidRDefault="002F6E91" w:rsidP="00AE1214">
      <w:pPr>
        <w:jc w:val="both"/>
      </w:pPr>
    </w:p>
    <w:p w:rsidR="00AE1214" w:rsidRDefault="00AE1214" w:rsidP="00AE1214">
      <w:pPr>
        <w:jc w:val="both"/>
      </w:pPr>
      <w:r>
        <w:t xml:space="preserve">Dans les deux cas apparaît la nécessité d’une </w:t>
      </w:r>
      <w:r w:rsidR="00CC13B6">
        <w:t>forte coordination entre</w:t>
      </w:r>
      <w:r>
        <w:t xml:space="preserve"> l’enseignant </w:t>
      </w:r>
      <w:r w:rsidR="00CC13B6">
        <w:t>en charge</w:t>
      </w:r>
      <w:r>
        <w:t xml:space="preserve"> de CEJM tronc commun, celui qui développe CEJM appliquée et ceux qui dispensent </w:t>
      </w:r>
      <w:r w:rsidR="00E21293">
        <w:t>les contenus</w:t>
      </w:r>
      <w:r>
        <w:t xml:space="preserve"> attachés aux différents blocs.</w:t>
      </w:r>
    </w:p>
    <w:p w:rsidR="007B1FD6" w:rsidRDefault="007B1FD6" w:rsidP="00AE1214">
      <w:pPr>
        <w:jc w:val="both"/>
      </w:pPr>
    </w:p>
    <w:p w:rsidR="007B1FD6" w:rsidRDefault="007B1FD6" w:rsidP="00AE1214">
      <w:pPr>
        <w:jc w:val="both"/>
      </w:pPr>
      <w:r>
        <w:t xml:space="preserve">En tout état de cause, </w:t>
      </w:r>
      <w:r w:rsidR="0010627F">
        <w:t>les savoirs associés aux trois blocs qui ont été apposés dans le tableau ne sauraient être lu comme un « programme » indicatif de CEJM appliquée. Ces savoirs résultent davantage d’une responsabilité collective et peuvent, à ce titre, être développés par l’enseignant en charge de CEJM tronc commun, par celui impliqué sur CEJM appliqué, par un professeur investi dans un bloc voire dans le cadre d’une réponse à un besoin particulier dans le cadre d’un atelier de professionnalisation.</w:t>
      </w:r>
    </w:p>
    <w:p w:rsidR="00CC13B6" w:rsidRDefault="00CC13B6" w:rsidP="00AE1214">
      <w:pPr>
        <w:jc w:val="both"/>
      </w:pPr>
    </w:p>
    <w:p w:rsidR="00CC13B6" w:rsidRDefault="00CC13B6" w:rsidP="00AE1214">
      <w:pPr>
        <w:jc w:val="both"/>
        <w:sectPr w:rsidR="00CC13B6" w:rsidSect="00EB15E6">
          <w:pgSz w:w="11900" w:h="16840"/>
          <w:pgMar w:top="1417" w:right="1417" w:bottom="1417" w:left="1417" w:header="708" w:footer="708" w:gutter="0"/>
          <w:cols w:space="708"/>
          <w:docGrid w:linePitch="360"/>
        </w:sectPr>
      </w:pPr>
    </w:p>
    <w:tbl>
      <w:tblPr>
        <w:tblW w:w="15283" w:type="dxa"/>
        <w:tblInd w:w="-350" w:type="dxa"/>
        <w:tblCellMar>
          <w:left w:w="0" w:type="dxa"/>
          <w:right w:w="0" w:type="dxa"/>
        </w:tblCellMar>
        <w:tblLook w:val="0600"/>
      </w:tblPr>
      <w:tblGrid>
        <w:gridCol w:w="3120"/>
        <w:gridCol w:w="3799"/>
        <w:gridCol w:w="4536"/>
        <w:gridCol w:w="3828"/>
      </w:tblGrid>
      <w:tr w:rsidR="00D453C3" w:rsidRPr="00D453C3" w:rsidTr="00D453C3">
        <w:trPr>
          <w:trHeight w:val="498"/>
          <w:tblHeader/>
        </w:trPr>
        <w:tc>
          <w:tcPr>
            <w:tcW w:w="3120"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653EA6" w:rsidRPr="00653EA6" w:rsidRDefault="00D453C3" w:rsidP="00653EA6">
            <w:pPr>
              <w:spacing w:line="276" w:lineRule="auto"/>
              <w:jc w:val="right"/>
              <w:textAlignment w:val="baseline"/>
              <w:rPr>
                <w:rFonts w:ascii="Arial" w:eastAsia="MS PGothic" w:hAnsi="Arial" w:cs="Arial"/>
                <w:b/>
                <w:bCs/>
                <w:i/>
                <w:color w:val="FFFFFF"/>
                <w:kern w:val="24"/>
                <w:sz w:val="14"/>
              </w:rPr>
            </w:pPr>
            <w:r w:rsidRPr="00653EA6">
              <w:rPr>
                <w:rFonts w:ascii="Arial" w:eastAsia="MS PGothic" w:hAnsi="Arial" w:cs="Arial"/>
                <w:b/>
                <w:bCs/>
                <w:color w:val="FFFFFF"/>
                <w:kern w:val="24"/>
                <w:sz w:val="16"/>
              </w:rPr>
              <w:lastRenderedPageBreak/>
              <w:t> </w:t>
            </w:r>
            <w:r w:rsidR="00653EA6" w:rsidRPr="00653EA6">
              <w:rPr>
                <w:rFonts w:ascii="Arial" w:eastAsia="MS PGothic" w:hAnsi="Arial" w:cs="Arial"/>
                <w:b/>
                <w:bCs/>
                <w:i/>
                <w:color w:val="FFFFFF"/>
                <w:kern w:val="24"/>
                <w:sz w:val="14"/>
              </w:rPr>
              <w:t>Blocs de compétence</w:t>
            </w:r>
            <w:r w:rsidR="000D1385">
              <w:rPr>
                <w:rFonts w:ascii="Arial" w:eastAsia="MS PGothic" w:hAnsi="Arial" w:cs="Arial"/>
                <w:b/>
                <w:bCs/>
                <w:i/>
                <w:color w:val="FFFFFF"/>
                <w:kern w:val="24"/>
                <w:sz w:val="14"/>
              </w:rPr>
              <w:t>s</w:t>
            </w:r>
            <w:r w:rsidR="00653EA6" w:rsidRPr="00653EA6">
              <w:rPr>
                <w:rFonts w:ascii="Arial" w:eastAsia="MS PGothic" w:hAnsi="Arial" w:cs="Arial"/>
                <w:b/>
                <w:bCs/>
                <w:i/>
                <w:color w:val="FFFFFF"/>
                <w:kern w:val="24"/>
                <w:sz w:val="14"/>
              </w:rPr>
              <w:t xml:space="preserve"> </w:t>
            </w:r>
          </w:p>
          <w:p w:rsidR="00D453C3" w:rsidRPr="00653EA6" w:rsidRDefault="00653EA6" w:rsidP="00653EA6">
            <w:pPr>
              <w:spacing w:line="276" w:lineRule="auto"/>
              <w:jc w:val="right"/>
              <w:textAlignment w:val="baseline"/>
              <w:rPr>
                <w:rFonts w:ascii="Arial" w:eastAsia="MS PGothic" w:hAnsi="Arial" w:cs="Arial"/>
                <w:b/>
                <w:bCs/>
                <w:i/>
                <w:color w:val="FFFFFF"/>
                <w:kern w:val="24"/>
                <w:sz w:val="14"/>
              </w:rPr>
            </w:pPr>
            <w:r w:rsidRPr="00653EA6">
              <w:rPr>
                <w:rFonts w:ascii="Arial" w:eastAsia="MS PGothic" w:hAnsi="Arial" w:cs="Arial"/>
                <w:b/>
                <w:bCs/>
                <w:i/>
                <w:color w:val="FFFFFF"/>
                <w:kern w:val="24"/>
                <w:sz w:val="14"/>
              </w:rPr>
              <w:t>en NDRC</w:t>
            </w:r>
          </w:p>
          <w:p w:rsidR="00653EA6" w:rsidRPr="00653EA6" w:rsidRDefault="00653EA6" w:rsidP="002F6E91">
            <w:pPr>
              <w:spacing w:line="276" w:lineRule="auto"/>
              <w:textAlignment w:val="baseline"/>
              <w:rPr>
                <w:rFonts w:ascii="Arial" w:eastAsia="MS PGothic" w:hAnsi="Arial" w:cs="Arial"/>
                <w:b/>
                <w:bCs/>
                <w:i/>
                <w:color w:val="FFFFFF"/>
                <w:kern w:val="24"/>
                <w:sz w:val="14"/>
              </w:rPr>
            </w:pPr>
          </w:p>
          <w:p w:rsidR="00653EA6" w:rsidRPr="00653EA6" w:rsidRDefault="00653EA6" w:rsidP="002F6E91">
            <w:pPr>
              <w:spacing w:line="276" w:lineRule="auto"/>
              <w:textAlignment w:val="baseline"/>
              <w:rPr>
                <w:rFonts w:ascii="Arial" w:eastAsia="MS PGothic" w:hAnsi="Arial" w:cs="Arial"/>
                <w:b/>
                <w:bCs/>
                <w:i/>
                <w:color w:val="FFFFFF"/>
                <w:kern w:val="24"/>
                <w:sz w:val="14"/>
              </w:rPr>
            </w:pPr>
          </w:p>
          <w:p w:rsidR="00653EA6" w:rsidRPr="00653EA6" w:rsidRDefault="00653EA6" w:rsidP="002F6E91">
            <w:pPr>
              <w:spacing w:line="276" w:lineRule="auto"/>
              <w:textAlignment w:val="baseline"/>
              <w:rPr>
                <w:rFonts w:ascii="Arial" w:hAnsi="Arial" w:cs="Arial"/>
                <w:sz w:val="16"/>
              </w:rPr>
            </w:pPr>
            <w:r w:rsidRPr="00653EA6">
              <w:rPr>
                <w:rFonts w:ascii="Arial" w:eastAsia="MS PGothic" w:hAnsi="Arial" w:cs="Arial"/>
                <w:b/>
                <w:bCs/>
                <w:i/>
                <w:color w:val="FFFFFF"/>
                <w:kern w:val="24"/>
                <w:sz w:val="14"/>
              </w:rPr>
              <w:t>Thèmes retenus en CEJM</w:t>
            </w:r>
          </w:p>
        </w:tc>
        <w:tc>
          <w:tcPr>
            <w:tcW w:w="3799"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Bloc de compétences 1 : Relation client et négociation-vente</w:t>
            </w:r>
          </w:p>
        </w:tc>
        <w:tc>
          <w:tcPr>
            <w:tcW w:w="4536"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D453C3">
            <w:pPr>
              <w:spacing w:line="276" w:lineRule="auto"/>
              <w:textAlignment w:val="baseline"/>
              <w:rPr>
                <w:rFonts w:ascii="Arial" w:eastAsia="MS PGothic" w:hAnsi="Arial" w:cs="Arial"/>
                <w:b/>
                <w:bCs/>
                <w:color w:val="FFFFFF"/>
                <w:kern w:val="24"/>
                <w:sz w:val="22"/>
              </w:rPr>
            </w:pPr>
            <w:r w:rsidRPr="00D453C3">
              <w:rPr>
                <w:rFonts w:ascii="Arial" w:eastAsia="MS PGothic" w:hAnsi="Arial" w:cs="Arial"/>
                <w:b/>
                <w:bCs/>
                <w:color w:val="FFFFFF"/>
                <w:kern w:val="24"/>
                <w:sz w:val="22"/>
              </w:rPr>
              <w:t>Bloc de compétences 2 : Relation client à distance et digitalisation</w:t>
            </w:r>
          </w:p>
          <w:p w:rsidR="00D453C3" w:rsidRPr="00D453C3" w:rsidRDefault="00D453C3" w:rsidP="002F6E91">
            <w:pPr>
              <w:spacing w:line="276" w:lineRule="auto"/>
              <w:textAlignment w:val="baseline"/>
              <w:rPr>
                <w:rFonts w:ascii="Arial" w:hAnsi="Arial" w:cs="Arial"/>
                <w:sz w:val="22"/>
              </w:rPr>
            </w:pPr>
          </w:p>
        </w:tc>
        <w:tc>
          <w:tcPr>
            <w:tcW w:w="3828" w:type="dxa"/>
            <w:tcBorders>
              <w:top w:val="single" w:sz="8" w:space="0" w:color="FFFFFF"/>
              <w:left w:val="single" w:sz="8" w:space="0" w:color="FFFFFF"/>
              <w:bottom w:val="single" w:sz="24"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D453C3">
            <w:pPr>
              <w:spacing w:line="276" w:lineRule="auto"/>
              <w:textAlignment w:val="baseline"/>
              <w:rPr>
                <w:rFonts w:ascii="Arial" w:eastAsia="MS PGothic" w:hAnsi="Arial" w:cs="Arial"/>
                <w:b/>
                <w:bCs/>
                <w:color w:val="FFFFFF"/>
                <w:kern w:val="24"/>
                <w:sz w:val="22"/>
              </w:rPr>
            </w:pPr>
            <w:r w:rsidRPr="00D453C3">
              <w:rPr>
                <w:rFonts w:ascii="Arial" w:eastAsia="MS PGothic" w:hAnsi="Arial" w:cs="Arial"/>
                <w:b/>
                <w:bCs/>
                <w:color w:val="FFFFFF"/>
                <w:kern w:val="24"/>
                <w:sz w:val="22"/>
              </w:rPr>
              <w:t>Bloc de compétences 3 : Relation client et animation de réseaux</w:t>
            </w:r>
          </w:p>
          <w:p w:rsidR="00D453C3" w:rsidRPr="00D453C3" w:rsidRDefault="00D453C3" w:rsidP="002F6E91">
            <w:pPr>
              <w:spacing w:line="276" w:lineRule="auto"/>
              <w:textAlignment w:val="baseline"/>
              <w:rPr>
                <w:rFonts w:ascii="Arial" w:hAnsi="Arial" w:cs="Arial"/>
                <w:sz w:val="22"/>
              </w:rPr>
            </w:pPr>
          </w:p>
        </w:tc>
      </w:tr>
      <w:tr w:rsidR="00D453C3" w:rsidRPr="00D453C3" w:rsidTr="00D453C3">
        <w:trPr>
          <w:trHeight w:val="930"/>
        </w:trPr>
        <w:tc>
          <w:tcPr>
            <w:tcW w:w="3120" w:type="dxa"/>
            <w:tcBorders>
              <w:top w:val="single" w:sz="24"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Comment les contrats sécurisent-ils les relations entre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intégration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 dans son environnement</w:t>
            </w:r>
          </w:p>
        </w:tc>
        <w:tc>
          <w:tcPr>
            <w:tcW w:w="3799" w:type="dxa"/>
            <w:tcBorders>
              <w:top w:val="single" w:sz="24"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994A49" w:rsidRPr="00AA79B2" w:rsidRDefault="00994A49" w:rsidP="00994A49">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Droit de la consommation (information et protection du consommateur)</w:t>
            </w:r>
          </w:p>
          <w:p w:rsidR="00994A49" w:rsidRPr="00AA79B2" w:rsidRDefault="00994A49" w:rsidP="00994A49">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Relations contractuelles commerciales</w:t>
            </w:r>
          </w:p>
          <w:p w:rsidR="00994A49" w:rsidRPr="00994A49" w:rsidRDefault="00994A49" w:rsidP="00994A49">
            <w:pPr>
              <w:pStyle w:val="Standard"/>
              <w:numPr>
                <w:ilvl w:val="0"/>
                <w:numId w:val="3"/>
              </w:numPr>
              <w:spacing w:line="276" w:lineRule="auto"/>
              <w:ind w:left="317" w:hanging="283"/>
              <w:rPr>
                <w:rFonts w:ascii="Arial" w:hAnsi="Arial" w:cs="Arial"/>
                <w:sz w:val="22"/>
              </w:rPr>
            </w:pPr>
            <w:r w:rsidRPr="00994A49">
              <w:rPr>
                <w:rFonts w:asciiTheme="minorHAnsi" w:hAnsiTheme="minorHAnsi" w:cstheme="minorHAnsi"/>
                <w:b w:val="0"/>
                <w:sz w:val="22"/>
                <w:szCs w:val="22"/>
              </w:rPr>
              <w:t>Contrat de vente (conditions générales de ventes, crédits, recours et litiges commerciaux)</w:t>
            </w:r>
          </w:p>
          <w:p w:rsidR="00941702" w:rsidRDefault="00941702" w:rsidP="00941702">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Évaluation de la performance et de l’activité commerciales (indicateurs de pilotage, tableau de bord, résultats, coûts, risque, etc.)</w:t>
            </w:r>
          </w:p>
          <w:p w:rsidR="005061CD" w:rsidRPr="00941702" w:rsidRDefault="005061CD" w:rsidP="00941702">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Marché et politiques commerciales</w:t>
            </w:r>
          </w:p>
        </w:tc>
        <w:tc>
          <w:tcPr>
            <w:tcW w:w="4536" w:type="dxa"/>
            <w:tcBorders>
              <w:top w:val="single" w:sz="24"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D453C3" w:rsidRPr="00D453C3" w:rsidRDefault="00D453C3" w:rsidP="002F6E91">
            <w:pPr>
              <w:spacing w:line="276" w:lineRule="auto"/>
              <w:textAlignment w:val="baseline"/>
              <w:rPr>
                <w:rFonts w:ascii="Arial" w:hAnsi="Arial" w:cs="Arial"/>
                <w:sz w:val="22"/>
              </w:rPr>
            </w:pPr>
          </w:p>
        </w:tc>
        <w:tc>
          <w:tcPr>
            <w:tcW w:w="3828" w:type="dxa"/>
            <w:tcBorders>
              <w:top w:val="single" w:sz="24"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E93AB4" w:rsidRPr="00AA79B2" w:rsidRDefault="00E93AB4" w:rsidP="00E93AB4">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Contrats de partenariats</w:t>
            </w:r>
          </w:p>
          <w:p w:rsidR="00D453C3" w:rsidRPr="00D453C3" w:rsidRDefault="00D453C3" w:rsidP="007D5B13">
            <w:pPr>
              <w:pStyle w:val="Standard"/>
              <w:ind w:left="317"/>
              <w:rPr>
                <w:rFonts w:ascii="Arial" w:hAnsi="Arial" w:cs="Arial"/>
                <w:sz w:val="22"/>
              </w:rPr>
            </w:pPr>
          </w:p>
        </w:tc>
      </w:tr>
      <w:tr w:rsidR="00D453C3" w:rsidRPr="00D453C3" w:rsidTr="00D453C3">
        <w:trPr>
          <w:trHeight w:val="330"/>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330" w:lineRule="atLeast"/>
              <w:textAlignment w:val="baseline"/>
              <w:rPr>
                <w:rFonts w:ascii="Arial" w:hAnsi="Arial" w:cs="Arial"/>
                <w:sz w:val="22"/>
              </w:rPr>
            </w:pPr>
            <w:r w:rsidRPr="00D453C3">
              <w:rPr>
                <w:rFonts w:ascii="Arial" w:eastAsia="MS PGothic" w:hAnsi="Arial" w:cs="Arial"/>
                <w:b/>
                <w:bCs/>
                <w:color w:val="FFFFFF"/>
                <w:kern w:val="24"/>
                <w:sz w:val="22"/>
              </w:rPr>
              <w:t>La régulation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activité économique</w:t>
            </w:r>
          </w:p>
        </w:tc>
        <w:tc>
          <w:tcPr>
            <w:tcW w:w="3799"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E93AB4" w:rsidRPr="00941702" w:rsidRDefault="00E93AB4" w:rsidP="00E93AB4">
            <w:pPr>
              <w:pStyle w:val="Standard"/>
              <w:numPr>
                <w:ilvl w:val="0"/>
                <w:numId w:val="3"/>
              </w:numPr>
              <w:spacing w:line="276" w:lineRule="auto"/>
              <w:ind w:left="317" w:hanging="283"/>
              <w:rPr>
                <w:rFonts w:ascii="Arial" w:hAnsi="Arial" w:cs="Arial"/>
                <w:sz w:val="22"/>
              </w:rPr>
            </w:pPr>
            <w:r w:rsidRPr="00AA79B2">
              <w:rPr>
                <w:rFonts w:asciiTheme="minorHAnsi" w:hAnsiTheme="minorHAnsi" w:cstheme="minorHAnsi"/>
                <w:b w:val="0"/>
                <w:sz w:val="22"/>
                <w:szCs w:val="22"/>
              </w:rPr>
              <w:t>Règlementation de la concurrence</w:t>
            </w:r>
          </w:p>
          <w:p w:rsidR="00D453C3" w:rsidRPr="00D453C3" w:rsidRDefault="00D453C3" w:rsidP="002F6E91">
            <w:pPr>
              <w:spacing w:line="330" w:lineRule="atLeast"/>
              <w:textAlignment w:val="baseline"/>
              <w:rPr>
                <w:rFonts w:ascii="Arial" w:hAnsi="Arial" w:cs="Arial"/>
                <w:sz w:val="22"/>
              </w:rPr>
            </w:pPr>
          </w:p>
        </w:tc>
        <w:tc>
          <w:tcPr>
            <w:tcW w:w="4536"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654C7D" w:rsidRPr="00654C7D" w:rsidRDefault="00654C7D" w:rsidP="00654C7D">
            <w:pPr>
              <w:pStyle w:val="Standard"/>
              <w:numPr>
                <w:ilvl w:val="0"/>
                <w:numId w:val="3"/>
              </w:numPr>
              <w:pBdr>
                <w:top w:val="nil"/>
                <w:left w:val="nil"/>
                <w:bottom w:val="nil"/>
                <w:right w:val="nil"/>
                <w:between w:val="nil"/>
              </w:pBdr>
              <w:ind w:left="317" w:hanging="283"/>
              <w:rPr>
                <w:rFonts w:ascii="Arial" w:hAnsi="Arial" w:cs="Arial"/>
                <w:sz w:val="22"/>
              </w:rPr>
            </w:pPr>
            <w:r w:rsidRPr="00AA79B2">
              <w:rPr>
                <w:rFonts w:asciiTheme="minorHAnsi" w:hAnsiTheme="minorHAnsi" w:cstheme="minorHAnsi"/>
                <w:b w:val="0"/>
                <w:sz w:val="22"/>
                <w:szCs w:val="22"/>
              </w:rPr>
              <w:t xml:space="preserve">Droit du </w:t>
            </w:r>
            <w:r w:rsidRPr="00AA79B2">
              <w:rPr>
                <w:rFonts w:asciiTheme="minorHAnsi" w:hAnsiTheme="minorHAnsi" w:cstheme="minorHAnsi"/>
                <w:b w:val="0"/>
                <w:i/>
                <w:sz w:val="22"/>
                <w:szCs w:val="22"/>
              </w:rPr>
              <w:t>web</w:t>
            </w:r>
            <w:r w:rsidRPr="00AA79B2">
              <w:rPr>
                <w:rFonts w:asciiTheme="minorHAnsi" w:hAnsiTheme="minorHAnsi" w:cstheme="minorHAnsi"/>
                <w:b w:val="0"/>
                <w:sz w:val="22"/>
                <w:szCs w:val="22"/>
              </w:rPr>
              <w:t> : contrats numériques, propriété intellectuelle, protection des données personnelles, droit à l’image, responsabilités des prestataires, droit des marques</w:t>
            </w:r>
          </w:p>
          <w:p w:rsidR="00D453C3" w:rsidRPr="00D453C3" w:rsidRDefault="00654C7D" w:rsidP="00654C7D">
            <w:pPr>
              <w:pStyle w:val="Standard"/>
              <w:numPr>
                <w:ilvl w:val="0"/>
                <w:numId w:val="3"/>
              </w:numPr>
              <w:pBdr>
                <w:top w:val="nil"/>
                <w:left w:val="nil"/>
                <w:bottom w:val="nil"/>
                <w:right w:val="nil"/>
                <w:between w:val="nil"/>
              </w:pBdr>
              <w:ind w:left="317" w:hanging="283"/>
              <w:rPr>
                <w:rFonts w:ascii="Arial" w:hAnsi="Arial" w:cs="Arial"/>
                <w:sz w:val="22"/>
              </w:rPr>
            </w:pPr>
            <w:r w:rsidRPr="00AA79B2">
              <w:rPr>
                <w:rFonts w:asciiTheme="minorHAnsi" w:hAnsiTheme="minorHAnsi" w:cstheme="minorHAnsi"/>
                <w:b w:val="0"/>
                <w:sz w:val="22"/>
                <w:szCs w:val="22"/>
              </w:rPr>
              <w:t xml:space="preserve">Droit de la consommation (information et protection du consommateur en matière de transactions </w:t>
            </w:r>
            <w:r w:rsidRPr="00AA79B2">
              <w:rPr>
                <w:rFonts w:asciiTheme="minorHAnsi" w:hAnsiTheme="minorHAnsi" w:cstheme="minorHAnsi"/>
                <w:b w:val="0"/>
                <w:i/>
                <w:sz w:val="22"/>
                <w:szCs w:val="22"/>
              </w:rPr>
              <w:t>web</w:t>
            </w:r>
            <w:r w:rsidRPr="00AA79B2">
              <w:rPr>
                <w:rFonts w:asciiTheme="minorHAnsi" w:hAnsiTheme="minorHAnsi" w:cstheme="minorHAnsi"/>
                <w:b w:val="0"/>
                <w:sz w:val="22"/>
                <w:szCs w:val="22"/>
              </w:rPr>
              <w:t>)</w:t>
            </w:r>
          </w:p>
        </w:tc>
        <w:tc>
          <w:tcPr>
            <w:tcW w:w="3828"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7D5B13" w:rsidRPr="00AA79B2" w:rsidRDefault="007D5B13" w:rsidP="007D5B13">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Droit de la distribution</w:t>
            </w:r>
          </w:p>
          <w:p w:rsidR="007D5B13" w:rsidRPr="00AA79B2" w:rsidRDefault="007D5B13" w:rsidP="007D5B13">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Droit de la consommation : information et protection du consommateur</w:t>
            </w:r>
          </w:p>
          <w:p w:rsidR="00D453C3" w:rsidRPr="00D453C3" w:rsidRDefault="007D5B13" w:rsidP="007D5B13">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Code éthique de la vente directe et réglementation</w:t>
            </w:r>
          </w:p>
        </w:tc>
      </w:tr>
      <w:tr w:rsidR="00D453C3" w:rsidRPr="00D453C3" w:rsidTr="00D453C3">
        <w:trPr>
          <w:trHeight w:val="498"/>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organisation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activité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w:t>
            </w:r>
          </w:p>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 </w:t>
            </w:r>
          </w:p>
        </w:tc>
        <w:tc>
          <w:tcPr>
            <w:tcW w:w="3799"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EE202A" w:rsidRPr="00EE202A" w:rsidRDefault="00EE202A" w:rsidP="00EE202A">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Gestion de la performance collective (organisation activité, valorisation, animation, motivation)</w:t>
            </w:r>
          </w:p>
          <w:p w:rsidR="00D453C3" w:rsidRPr="00D453C3" w:rsidRDefault="00EE202A" w:rsidP="00EE202A">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Communication managériale</w:t>
            </w:r>
          </w:p>
        </w:tc>
        <w:tc>
          <w:tcPr>
            <w:tcW w:w="4536"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EE202A" w:rsidRPr="00AA79B2" w:rsidRDefault="00EE202A" w:rsidP="00EE202A">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Communication managériale</w:t>
            </w:r>
          </w:p>
          <w:p w:rsidR="00D453C3" w:rsidRPr="00D453C3" w:rsidRDefault="00D453C3" w:rsidP="002F6E91">
            <w:pPr>
              <w:spacing w:line="276" w:lineRule="auto"/>
              <w:textAlignment w:val="baseline"/>
              <w:rPr>
                <w:rFonts w:ascii="Arial" w:hAnsi="Arial" w:cs="Arial"/>
                <w:sz w:val="22"/>
              </w:rPr>
            </w:pPr>
          </w:p>
        </w:tc>
        <w:tc>
          <w:tcPr>
            <w:tcW w:w="3828"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D453C3" w:rsidRPr="00D453C3" w:rsidRDefault="00D453C3" w:rsidP="002F6E91">
            <w:pPr>
              <w:spacing w:line="276" w:lineRule="auto"/>
              <w:textAlignment w:val="baseline"/>
              <w:rPr>
                <w:rFonts w:ascii="Arial" w:hAnsi="Arial" w:cs="Arial"/>
                <w:sz w:val="22"/>
              </w:rPr>
            </w:pPr>
          </w:p>
        </w:tc>
      </w:tr>
      <w:tr w:rsidR="00D453C3" w:rsidRPr="00D453C3" w:rsidTr="00D453C3">
        <w:trPr>
          <w:trHeight w:val="1160"/>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lastRenderedPageBreak/>
              <w:t>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impact du numérique sur la vie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w:t>
            </w:r>
          </w:p>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 </w:t>
            </w:r>
          </w:p>
        </w:tc>
        <w:tc>
          <w:tcPr>
            <w:tcW w:w="3799"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085418" w:rsidRPr="00AA79B2" w:rsidRDefault="00085418" w:rsidP="00085418">
            <w:pPr>
              <w:pStyle w:val="Standard"/>
              <w:numPr>
                <w:ilvl w:val="0"/>
                <w:numId w:val="3"/>
              </w:numP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Data client</w:t>
            </w:r>
          </w:p>
          <w:p w:rsidR="00941702" w:rsidRPr="00941702" w:rsidRDefault="00941702" w:rsidP="00941702">
            <w:pPr>
              <w:pStyle w:val="Standard"/>
              <w:numPr>
                <w:ilvl w:val="0"/>
                <w:numId w:val="3"/>
              </w:numPr>
              <w:ind w:left="317" w:hanging="283"/>
              <w:rPr>
                <w:rFonts w:asciiTheme="minorHAnsi" w:hAnsiTheme="minorHAnsi" w:cstheme="minorHAnsi"/>
                <w:b w:val="0"/>
                <w:sz w:val="22"/>
                <w:szCs w:val="22"/>
              </w:rPr>
            </w:pPr>
            <w:r w:rsidRPr="00941702">
              <w:rPr>
                <w:rFonts w:asciiTheme="minorHAnsi" w:hAnsiTheme="minorHAnsi" w:cstheme="minorHAnsi"/>
                <w:b w:val="0"/>
                <w:sz w:val="22"/>
                <w:szCs w:val="22"/>
              </w:rPr>
              <w:t>Protection des données (droits et obligations)</w:t>
            </w:r>
          </w:p>
          <w:p w:rsidR="00D453C3" w:rsidRPr="00D453C3" w:rsidRDefault="00D453C3" w:rsidP="002F6E91">
            <w:pPr>
              <w:spacing w:line="276" w:lineRule="auto"/>
              <w:textAlignment w:val="baseline"/>
              <w:rPr>
                <w:rFonts w:ascii="Arial" w:hAnsi="Arial" w:cs="Arial"/>
                <w:sz w:val="22"/>
              </w:rPr>
            </w:pPr>
          </w:p>
        </w:tc>
        <w:tc>
          <w:tcPr>
            <w:tcW w:w="4536"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EE202A" w:rsidRDefault="00EE202A" w:rsidP="00085418">
            <w:pPr>
              <w:pStyle w:val="Standard"/>
              <w:numPr>
                <w:ilvl w:val="0"/>
                <w:numId w:val="3"/>
              </w:numPr>
              <w:pBdr>
                <w:top w:val="nil"/>
                <w:left w:val="nil"/>
                <w:bottom w:val="nil"/>
                <w:right w:val="nil"/>
                <w:between w:val="nil"/>
              </w:pBdr>
              <w:ind w:left="377" w:hanging="283"/>
              <w:rPr>
                <w:rFonts w:asciiTheme="minorHAnsi" w:hAnsiTheme="minorHAnsi" w:cstheme="minorHAnsi"/>
                <w:b w:val="0"/>
                <w:sz w:val="22"/>
                <w:szCs w:val="22"/>
              </w:rPr>
            </w:pPr>
            <w:r w:rsidRPr="00656F84">
              <w:rPr>
                <w:rFonts w:asciiTheme="minorHAnsi" w:hAnsiTheme="minorHAnsi" w:cstheme="minorHAnsi"/>
                <w:b w:val="0"/>
                <w:sz w:val="22"/>
                <w:szCs w:val="22"/>
              </w:rPr>
              <w:t>Community management</w:t>
            </w:r>
          </w:p>
          <w:p w:rsidR="00085418" w:rsidRPr="00AA79B2" w:rsidRDefault="00085418" w:rsidP="00085418">
            <w:pPr>
              <w:numPr>
                <w:ilvl w:val="0"/>
                <w:numId w:val="3"/>
              </w:numPr>
              <w:pBdr>
                <w:top w:val="nil"/>
                <w:left w:val="nil"/>
                <w:bottom w:val="nil"/>
                <w:right w:val="nil"/>
                <w:between w:val="nil"/>
              </w:pBdr>
              <w:ind w:left="377" w:hanging="283"/>
              <w:contextualSpacing/>
              <w:rPr>
                <w:rFonts w:eastAsia="Calibri" w:cs="Calibri"/>
                <w:sz w:val="22"/>
                <w:szCs w:val="22"/>
              </w:rPr>
            </w:pPr>
            <w:r w:rsidRPr="00AA79B2">
              <w:rPr>
                <w:rFonts w:eastAsia="Calibri" w:cs="Calibri"/>
                <w:sz w:val="22"/>
                <w:szCs w:val="22"/>
              </w:rPr>
              <w:t>Communication à distance (stratégies, techniques, gestion des conflits, gestion du stress)</w:t>
            </w:r>
          </w:p>
          <w:p w:rsidR="00085418" w:rsidRPr="00AA79B2" w:rsidRDefault="00085418" w:rsidP="00085418">
            <w:pPr>
              <w:numPr>
                <w:ilvl w:val="0"/>
                <w:numId w:val="3"/>
              </w:numPr>
              <w:pBdr>
                <w:top w:val="nil"/>
                <w:left w:val="nil"/>
                <w:bottom w:val="nil"/>
                <w:right w:val="nil"/>
                <w:between w:val="nil"/>
              </w:pBdr>
              <w:ind w:left="377" w:hanging="283"/>
              <w:contextualSpacing/>
              <w:rPr>
                <w:rFonts w:eastAsia="Calibri" w:cs="Calibri"/>
                <w:sz w:val="22"/>
                <w:szCs w:val="22"/>
              </w:rPr>
            </w:pPr>
            <w:r w:rsidRPr="00AA79B2">
              <w:rPr>
                <w:rFonts w:eastAsia="Calibri" w:cs="Calibri"/>
                <w:sz w:val="22"/>
                <w:szCs w:val="22"/>
              </w:rPr>
              <w:t>Communication unifiée (fonctionnalités et caractéristiques, services, sécurité, gestion des incidents)</w:t>
            </w:r>
          </w:p>
          <w:p w:rsidR="00085418" w:rsidRPr="00656F84" w:rsidRDefault="00085418" w:rsidP="008C18E0">
            <w:pPr>
              <w:pStyle w:val="Standard"/>
              <w:pBdr>
                <w:top w:val="nil"/>
                <w:left w:val="nil"/>
                <w:bottom w:val="nil"/>
                <w:right w:val="nil"/>
                <w:between w:val="nil"/>
              </w:pBdr>
              <w:ind w:left="720"/>
              <w:rPr>
                <w:rFonts w:asciiTheme="minorHAnsi" w:hAnsiTheme="minorHAnsi" w:cstheme="minorHAnsi"/>
                <w:b w:val="0"/>
                <w:sz w:val="22"/>
                <w:szCs w:val="22"/>
              </w:rPr>
            </w:pPr>
          </w:p>
          <w:p w:rsidR="00D453C3" w:rsidRPr="00D453C3" w:rsidRDefault="00D453C3" w:rsidP="002F6E91">
            <w:pPr>
              <w:textAlignment w:val="baseline"/>
              <w:rPr>
                <w:rFonts w:ascii="Arial" w:hAnsi="Arial" w:cs="Arial"/>
                <w:sz w:val="22"/>
              </w:rPr>
            </w:pPr>
          </w:p>
        </w:tc>
        <w:tc>
          <w:tcPr>
            <w:tcW w:w="3828"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tcPr>
          <w:p w:rsidR="00D453C3" w:rsidRPr="00D453C3" w:rsidRDefault="00D453C3" w:rsidP="002F6E91">
            <w:pPr>
              <w:spacing w:line="276" w:lineRule="auto"/>
              <w:textAlignment w:val="baseline"/>
              <w:rPr>
                <w:rFonts w:ascii="Arial" w:hAnsi="Arial" w:cs="Arial"/>
                <w:sz w:val="22"/>
              </w:rPr>
            </w:pPr>
          </w:p>
        </w:tc>
      </w:tr>
      <w:tr w:rsidR="00D453C3" w:rsidRPr="00D453C3" w:rsidTr="00D453C3">
        <w:trPr>
          <w:trHeight w:val="3563"/>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Les mutations du travail</w:t>
            </w:r>
          </w:p>
          <w:p w:rsidR="00D453C3" w:rsidRPr="00D453C3" w:rsidRDefault="00D453C3" w:rsidP="002F6E91">
            <w:pPr>
              <w:spacing w:line="276" w:lineRule="auto"/>
              <w:textAlignment w:val="baseline"/>
              <w:rPr>
                <w:rFonts w:ascii="Arial" w:hAnsi="Arial" w:cs="Arial"/>
                <w:sz w:val="22"/>
              </w:rPr>
            </w:pPr>
            <w:r w:rsidRPr="00D453C3">
              <w:rPr>
                <w:rFonts w:ascii="Arial" w:eastAsia="MS PGothic" w:hAnsi="Arial" w:cs="Arial"/>
                <w:b/>
                <w:bCs/>
                <w:color w:val="FFFFFF"/>
                <w:kern w:val="24"/>
                <w:sz w:val="22"/>
              </w:rPr>
              <w:t> </w:t>
            </w:r>
          </w:p>
        </w:tc>
        <w:tc>
          <w:tcPr>
            <w:tcW w:w="3799"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hideMark/>
          </w:tcPr>
          <w:p w:rsidR="00D453C3" w:rsidRPr="00D453C3" w:rsidRDefault="00D453C3" w:rsidP="008C18E0">
            <w:pPr>
              <w:pStyle w:val="Standard"/>
              <w:pBdr>
                <w:top w:val="nil"/>
                <w:left w:val="nil"/>
                <w:bottom w:val="nil"/>
                <w:right w:val="nil"/>
                <w:between w:val="nil"/>
              </w:pBdr>
              <w:ind w:left="317"/>
              <w:rPr>
                <w:rFonts w:ascii="Arial" w:hAnsi="Arial" w:cs="Arial"/>
                <w:sz w:val="22"/>
              </w:rPr>
            </w:pPr>
          </w:p>
        </w:tc>
        <w:tc>
          <w:tcPr>
            <w:tcW w:w="4536"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FB3B00" w:rsidRPr="00AA79B2" w:rsidRDefault="00FB3B00" w:rsidP="00FB3B00">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Pilotage et évaluation de la performance individuelle et collective (objectifs, indicateurs d’évaluation, tableau de bord, formation, recrutement, accompagnement)</w:t>
            </w:r>
          </w:p>
          <w:p w:rsidR="00FB3B00" w:rsidRPr="00AA79B2" w:rsidRDefault="00FB3B00" w:rsidP="00FB3B00">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AA79B2">
              <w:rPr>
                <w:rFonts w:asciiTheme="minorHAnsi" w:hAnsiTheme="minorHAnsi" w:cstheme="minorHAnsi"/>
                <w:b w:val="0"/>
                <w:sz w:val="22"/>
                <w:szCs w:val="22"/>
              </w:rPr>
              <w:t>Leviers individuels et collectifs de la stimulation et de la motivation</w:t>
            </w:r>
          </w:p>
          <w:p w:rsidR="00B61657" w:rsidRDefault="00B61657" w:rsidP="00B61657">
            <w:pPr>
              <w:pStyle w:val="Standard"/>
              <w:numPr>
                <w:ilvl w:val="0"/>
                <w:numId w:val="3"/>
              </w:numPr>
              <w:pBdr>
                <w:top w:val="nil"/>
                <w:left w:val="nil"/>
                <w:bottom w:val="nil"/>
                <w:right w:val="nil"/>
                <w:between w:val="nil"/>
              </w:pBdr>
              <w:ind w:left="317" w:hanging="283"/>
              <w:rPr>
                <w:rFonts w:asciiTheme="minorHAnsi" w:hAnsiTheme="minorHAnsi" w:cstheme="minorHAnsi"/>
                <w:b w:val="0"/>
                <w:sz w:val="22"/>
                <w:szCs w:val="22"/>
              </w:rPr>
            </w:pPr>
            <w:r w:rsidRPr="00D453C3">
              <w:rPr>
                <w:rFonts w:ascii="Arial" w:eastAsia="MS PGothic" w:hAnsi="Arial" w:cs="Arial"/>
                <w:color w:val="000000"/>
                <w:kern w:val="24"/>
                <w:sz w:val="22"/>
              </w:rPr>
              <w:t> </w:t>
            </w:r>
            <w:r w:rsidRPr="00AA79B2">
              <w:rPr>
                <w:rFonts w:asciiTheme="minorHAnsi" w:hAnsiTheme="minorHAnsi" w:cstheme="minorHAnsi"/>
                <w:b w:val="0"/>
                <w:sz w:val="22"/>
                <w:szCs w:val="22"/>
              </w:rPr>
              <w:t>Droit du travail (recrutement, temps de travail, santé et sécurité au travail, formation)</w:t>
            </w:r>
          </w:p>
          <w:p w:rsidR="00D453C3" w:rsidRPr="00D453C3" w:rsidRDefault="00D453C3" w:rsidP="002F6E91">
            <w:pPr>
              <w:spacing w:line="276" w:lineRule="auto"/>
              <w:textAlignment w:val="baseline"/>
              <w:rPr>
                <w:rFonts w:ascii="Arial" w:hAnsi="Arial" w:cs="Arial"/>
                <w:sz w:val="22"/>
              </w:rPr>
            </w:pPr>
          </w:p>
        </w:tc>
        <w:tc>
          <w:tcPr>
            <w:tcW w:w="3828" w:type="dxa"/>
            <w:tcBorders>
              <w:top w:val="single" w:sz="8" w:space="0" w:color="FFFFFF"/>
              <w:left w:val="single" w:sz="8" w:space="0" w:color="FFFFFF"/>
              <w:bottom w:val="single" w:sz="8" w:space="0" w:color="FFFFFF"/>
              <w:right w:val="single" w:sz="8" w:space="0" w:color="FFFFFF"/>
            </w:tcBorders>
            <w:shd w:val="clear" w:color="auto" w:fill="CBD3E1"/>
            <w:tcMar>
              <w:top w:w="15" w:type="dxa"/>
              <w:left w:w="76" w:type="dxa"/>
              <w:bottom w:w="0" w:type="dxa"/>
              <w:right w:w="76" w:type="dxa"/>
            </w:tcMar>
          </w:tcPr>
          <w:p w:rsidR="00536DB6" w:rsidRPr="00536DB6" w:rsidRDefault="00536DB6" w:rsidP="00536DB6">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Management opérationnel (recrutement, formation, objectifs, rémunération, animation, évaluation des équipes)</w:t>
            </w:r>
          </w:p>
          <w:p w:rsidR="00D453C3" w:rsidRPr="00E93AB4" w:rsidRDefault="00536DB6" w:rsidP="00536DB6">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Gestion de conflits</w:t>
            </w:r>
          </w:p>
          <w:p w:rsidR="00E93AB4" w:rsidRPr="008C18E0" w:rsidRDefault="00E93AB4" w:rsidP="008C18E0">
            <w:pPr>
              <w:pStyle w:val="Standard"/>
              <w:numPr>
                <w:ilvl w:val="0"/>
                <w:numId w:val="3"/>
              </w:numPr>
              <w:ind w:left="317" w:hanging="283"/>
              <w:rPr>
                <w:rFonts w:ascii="Arial" w:hAnsi="Arial" w:cs="Arial"/>
                <w:sz w:val="22"/>
              </w:rPr>
            </w:pPr>
            <w:r w:rsidRPr="00AA79B2">
              <w:rPr>
                <w:rFonts w:asciiTheme="minorHAnsi" w:hAnsiTheme="minorHAnsi" w:cstheme="minorHAnsi"/>
                <w:b w:val="0"/>
                <w:sz w:val="22"/>
                <w:szCs w:val="22"/>
              </w:rPr>
              <w:t>Droit du travail (statuts des commerciaux, salariés, VRP, agents, VDI, etc.)</w:t>
            </w:r>
          </w:p>
        </w:tc>
      </w:tr>
      <w:tr w:rsidR="00D453C3" w:rsidRPr="00D453C3" w:rsidTr="00D453C3">
        <w:trPr>
          <w:trHeight w:val="330"/>
        </w:trPr>
        <w:tc>
          <w:tcPr>
            <w:tcW w:w="3120" w:type="dxa"/>
            <w:tcBorders>
              <w:top w:val="single" w:sz="8" w:space="0" w:color="FFFFFF"/>
              <w:left w:val="single" w:sz="8" w:space="0" w:color="FFFFFF"/>
              <w:bottom w:val="single" w:sz="8" w:space="0" w:color="FFFFFF"/>
              <w:right w:val="single" w:sz="8" w:space="0" w:color="FFFFFF"/>
            </w:tcBorders>
            <w:shd w:val="clear" w:color="auto" w:fill="0062A8"/>
            <w:tcMar>
              <w:top w:w="15" w:type="dxa"/>
              <w:left w:w="76" w:type="dxa"/>
              <w:bottom w:w="0" w:type="dxa"/>
              <w:right w:w="76" w:type="dxa"/>
            </w:tcMar>
            <w:hideMark/>
          </w:tcPr>
          <w:p w:rsidR="00D453C3" w:rsidRPr="00D453C3" w:rsidRDefault="00D453C3" w:rsidP="002F6E91">
            <w:pPr>
              <w:spacing w:line="330" w:lineRule="atLeast"/>
              <w:textAlignment w:val="baseline"/>
              <w:rPr>
                <w:rFonts w:ascii="Arial" w:hAnsi="Arial" w:cs="Arial"/>
                <w:sz w:val="22"/>
              </w:rPr>
            </w:pPr>
            <w:r w:rsidRPr="00D453C3">
              <w:rPr>
                <w:rFonts w:ascii="Arial" w:eastAsia="MS PGothic" w:hAnsi="Arial" w:cs="Arial"/>
                <w:b/>
                <w:bCs/>
                <w:color w:val="FFFFFF"/>
                <w:kern w:val="24"/>
                <w:sz w:val="22"/>
              </w:rPr>
              <w:t>Les choix stratégiques de l</w:t>
            </w:r>
            <w:r w:rsidRPr="00D453C3">
              <w:rPr>
                <w:rFonts w:ascii="Arial" w:eastAsia="MS PGothic" w:hAnsi="Arial" w:cs="Arial"/>
                <w:b/>
                <w:bCs/>
                <w:color w:val="FFFFFF"/>
                <w:kern w:val="24"/>
                <w:sz w:val="22"/>
                <w:lang w:eastAsia="ja-JP"/>
              </w:rPr>
              <w:t>’</w:t>
            </w:r>
            <w:r w:rsidRPr="00D453C3">
              <w:rPr>
                <w:rFonts w:ascii="Arial" w:eastAsia="MS PGothic" w:hAnsi="Arial" w:cs="Arial"/>
                <w:b/>
                <w:bCs/>
                <w:color w:val="FFFFFF"/>
                <w:kern w:val="24"/>
                <w:sz w:val="22"/>
              </w:rPr>
              <w:t>entreprise</w:t>
            </w:r>
          </w:p>
        </w:tc>
        <w:tc>
          <w:tcPr>
            <w:tcW w:w="3799"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hideMark/>
          </w:tcPr>
          <w:p w:rsidR="00D453C3" w:rsidRPr="00085418" w:rsidRDefault="00D453C3" w:rsidP="00EE202A">
            <w:pPr>
              <w:pStyle w:val="Standard"/>
              <w:numPr>
                <w:ilvl w:val="0"/>
                <w:numId w:val="3"/>
              </w:numPr>
              <w:ind w:left="317" w:hanging="283"/>
              <w:rPr>
                <w:rFonts w:ascii="Arial" w:hAnsi="Arial" w:cs="Arial"/>
                <w:sz w:val="22"/>
              </w:rPr>
            </w:pPr>
            <w:r w:rsidRPr="00D453C3">
              <w:rPr>
                <w:rFonts w:ascii="Arial" w:eastAsia="MS PGothic" w:hAnsi="Arial" w:cs="Arial"/>
                <w:color w:val="000000"/>
                <w:kern w:val="24"/>
                <w:sz w:val="22"/>
              </w:rPr>
              <w:t> </w:t>
            </w:r>
            <w:r w:rsidR="00EE202A" w:rsidRPr="00AA79B2">
              <w:rPr>
                <w:rFonts w:asciiTheme="minorHAnsi" w:hAnsiTheme="minorHAnsi" w:cstheme="minorHAnsi"/>
                <w:b w:val="0"/>
                <w:sz w:val="22"/>
                <w:szCs w:val="22"/>
              </w:rPr>
              <w:t>Marketing stratégique</w:t>
            </w:r>
          </w:p>
          <w:p w:rsidR="00085418" w:rsidRPr="00085418" w:rsidRDefault="00085418" w:rsidP="00EE202A">
            <w:pPr>
              <w:pStyle w:val="Standard"/>
              <w:numPr>
                <w:ilvl w:val="0"/>
                <w:numId w:val="3"/>
              </w:numPr>
              <w:ind w:left="317" w:hanging="283"/>
              <w:rPr>
                <w:rFonts w:ascii="Arial" w:hAnsi="Arial" w:cs="Arial"/>
                <w:b w:val="0"/>
                <w:sz w:val="22"/>
              </w:rPr>
            </w:pPr>
            <w:r w:rsidRPr="00085418">
              <w:rPr>
                <w:rFonts w:asciiTheme="minorHAnsi" w:hAnsiTheme="minorHAnsi" w:cstheme="minorHAnsi"/>
                <w:b w:val="0"/>
                <w:sz w:val="22"/>
                <w:szCs w:val="22"/>
              </w:rPr>
              <w:t>Conquête de marché, démarches et techniques de prospection (objectifs, diagnostic, segmentation, ciblage, positionnement, actions)</w:t>
            </w:r>
          </w:p>
        </w:tc>
        <w:tc>
          <w:tcPr>
            <w:tcW w:w="4536"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hideMark/>
          </w:tcPr>
          <w:p w:rsidR="00D453C3" w:rsidRPr="00D453C3" w:rsidRDefault="00D453C3" w:rsidP="002F6E91">
            <w:pPr>
              <w:spacing w:line="330" w:lineRule="atLeast"/>
              <w:textAlignment w:val="baseline"/>
              <w:rPr>
                <w:rFonts w:ascii="Arial" w:hAnsi="Arial" w:cs="Arial"/>
                <w:sz w:val="22"/>
              </w:rPr>
            </w:pPr>
            <w:r w:rsidRPr="00D453C3">
              <w:rPr>
                <w:rFonts w:ascii="Arial" w:eastAsia="MS PGothic" w:hAnsi="Arial" w:cs="Arial"/>
                <w:color w:val="000000"/>
                <w:kern w:val="24"/>
                <w:sz w:val="22"/>
              </w:rPr>
              <w:t> </w:t>
            </w:r>
          </w:p>
        </w:tc>
        <w:tc>
          <w:tcPr>
            <w:tcW w:w="3828" w:type="dxa"/>
            <w:tcBorders>
              <w:top w:val="single" w:sz="8" w:space="0" w:color="FFFFFF"/>
              <w:left w:val="single" w:sz="8" w:space="0" w:color="FFFFFF"/>
              <w:bottom w:val="single" w:sz="8" w:space="0" w:color="FFFFFF"/>
              <w:right w:val="single" w:sz="8" w:space="0" w:color="FFFFFF"/>
            </w:tcBorders>
            <w:shd w:val="clear" w:color="auto" w:fill="E7EAF1"/>
            <w:tcMar>
              <w:top w:w="15" w:type="dxa"/>
              <w:left w:w="76" w:type="dxa"/>
              <w:bottom w:w="0" w:type="dxa"/>
              <w:right w:w="76" w:type="dxa"/>
            </w:tcMar>
            <w:hideMark/>
          </w:tcPr>
          <w:p w:rsidR="00D453C3" w:rsidRPr="00D453C3" w:rsidRDefault="00D453C3" w:rsidP="0077051F">
            <w:pPr>
              <w:pStyle w:val="Standard"/>
              <w:numPr>
                <w:ilvl w:val="0"/>
                <w:numId w:val="3"/>
              </w:numPr>
              <w:ind w:left="317" w:hanging="283"/>
              <w:rPr>
                <w:rFonts w:ascii="Arial" w:hAnsi="Arial" w:cs="Arial"/>
                <w:sz w:val="22"/>
              </w:rPr>
            </w:pPr>
            <w:r w:rsidRPr="00D453C3">
              <w:rPr>
                <w:rFonts w:ascii="Arial" w:eastAsia="MS PGothic" w:hAnsi="Arial" w:cs="Arial"/>
                <w:color w:val="000000"/>
                <w:kern w:val="24"/>
                <w:sz w:val="22"/>
              </w:rPr>
              <w:t> </w:t>
            </w:r>
            <w:r w:rsidR="0077051F" w:rsidRPr="00AA79B2">
              <w:rPr>
                <w:rFonts w:asciiTheme="minorHAnsi" w:hAnsiTheme="minorHAnsi" w:cstheme="minorHAnsi"/>
                <w:b w:val="0"/>
                <w:sz w:val="22"/>
                <w:szCs w:val="22"/>
              </w:rPr>
              <w:t>Organisation du réseau de distribution</w:t>
            </w:r>
          </w:p>
        </w:tc>
      </w:tr>
    </w:tbl>
    <w:p w:rsidR="00D14F05" w:rsidRDefault="00D14F05"/>
    <w:p w:rsidR="0036128B" w:rsidRPr="004C3614" w:rsidRDefault="004C3614" w:rsidP="004C3614">
      <w:pPr>
        <w:jc w:val="both"/>
        <w:rPr>
          <w:rFonts w:ascii="Arial" w:hAnsi="Arial" w:cs="Arial"/>
          <w:b/>
          <w:highlight w:val="cyan"/>
        </w:rPr>
      </w:pPr>
      <w:r w:rsidRPr="004C3614">
        <w:rPr>
          <w:rFonts w:ascii="Arial" w:hAnsi="Arial" w:cs="Arial"/>
          <w:b/>
          <w:highlight w:val="cyan"/>
        </w:rPr>
        <w:lastRenderedPageBreak/>
        <w:t>Quels liens entr</w:t>
      </w:r>
      <w:r w:rsidR="00C30390">
        <w:rPr>
          <w:rFonts w:ascii="Arial" w:hAnsi="Arial" w:cs="Arial"/>
          <w:b/>
          <w:highlight w:val="cyan"/>
        </w:rPr>
        <w:t xml:space="preserve">e CEJM appliqué et les stages / </w:t>
      </w:r>
      <w:r w:rsidRPr="004C3614">
        <w:rPr>
          <w:rFonts w:ascii="Arial" w:hAnsi="Arial" w:cs="Arial"/>
          <w:b/>
          <w:highlight w:val="cyan"/>
        </w:rPr>
        <w:t>expériences professionnelles ?</w:t>
      </w:r>
    </w:p>
    <w:p w:rsidR="0036128B" w:rsidRDefault="0036128B"/>
    <w:p w:rsidR="0036128B" w:rsidRDefault="00327511">
      <w:r>
        <w:t xml:space="preserve">La relation est double : </w:t>
      </w:r>
    </w:p>
    <w:p w:rsidR="00327511" w:rsidRDefault="00327511"/>
    <w:p w:rsidR="00C30390" w:rsidRDefault="00C30390" w:rsidP="00C30390">
      <w:pPr>
        <w:pStyle w:val="Paragraphedeliste"/>
        <w:numPr>
          <w:ilvl w:val="0"/>
          <w:numId w:val="9"/>
        </w:numPr>
        <w:jc w:val="both"/>
      </w:pPr>
      <w:r>
        <w:t>Les éléments de savoir développés en CEJM appliquée permettent à l’étudiant de mieux appréhender les contextes professionnels dans lesquels il est placé, que ces contextes soient réels ou observés.</w:t>
      </w:r>
      <w:r w:rsidR="00727BEC">
        <w:t xml:space="preserve"> L’étudiant dispose de clés d’analyse à la fois économiques, juridiques et managériales pour analyser des situations et contextes dans lesquelles les disciplines sont la plupart du temps enchâssées.</w:t>
      </w:r>
    </w:p>
    <w:p w:rsidR="00C30390" w:rsidRDefault="00C30390" w:rsidP="00C30390">
      <w:pPr>
        <w:jc w:val="both"/>
      </w:pPr>
    </w:p>
    <w:p w:rsidR="00327511" w:rsidRDefault="00C30390" w:rsidP="00C30390">
      <w:pPr>
        <w:pStyle w:val="Paragraphedeliste"/>
        <w:numPr>
          <w:ilvl w:val="0"/>
          <w:numId w:val="9"/>
        </w:numPr>
        <w:jc w:val="both"/>
      </w:pPr>
      <w:r w:rsidRPr="00C30390">
        <w:t xml:space="preserve">Dans une logique de didactique inversée, </w:t>
      </w:r>
      <w:r>
        <w:t>l’explicitation</w:t>
      </w:r>
      <w:r w:rsidRPr="00C30390">
        <w:t xml:space="preserve"> des </w:t>
      </w:r>
      <w:r w:rsidRPr="00C30390">
        <w:rPr>
          <w:iCs/>
        </w:rPr>
        <w:t>tâches réalisées p</w:t>
      </w:r>
      <w:r w:rsidRPr="00C30390">
        <w:t xml:space="preserve">ar </w:t>
      </w:r>
      <w:r>
        <w:t xml:space="preserve">l’étudiant placé en situation professionnelle peut conduire à interroger le contexte économique, juridique et managérial. Cette démarche est de nature à faire émerger des </w:t>
      </w:r>
      <w:r w:rsidR="00327511">
        <w:t>besoin</w:t>
      </w:r>
      <w:r>
        <w:t>s</w:t>
      </w:r>
      <w:r w:rsidR="00327511">
        <w:t xml:space="preserve"> d’approfondissements spécifiques, non présents explicitement, ni dans les blocs, ni dans le tronc commun</w:t>
      </w:r>
      <w:r>
        <w:t xml:space="preserve">. </w:t>
      </w:r>
      <w:r w:rsidR="00727BEC">
        <w:t>En fonction du caractère transversal des savoirs ainsi mis en évidence, il convient de les développer soit dans le cadre de CEJM appliqué, soit au plus proche des besoins propres de l’étudiant dans le cadre des ateliers de professionnalisation.</w:t>
      </w:r>
      <w:r>
        <w:t xml:space="preserve"> </w:t>
      </w:r>
    </w:p>
    <w:p w:rsidR="004C3614" w:rsidRDefault="004C3614"/>
    <w:p w:rsidR="004C3614" w:rsidRDefault="004C3614"/>
    <w:p w:rsidR="004C3614" w:rsidRDefault="004C3614" w:rsidP="004C3614">
      <w:pPr>
        <w:jc w:val="both"/>
        <w:rPr>
          <w:rFonts w:ascii="Arial" w:hAnsi="Arial" w:cs="Arial"/>
          <w:b/>
          <w:highlight w:val="cyan"/>
        </w:rPr>
      </w:pPr>
      <w:r w:rsidRPr="004C3614">
        <w:rPr>
          <w:rFonts w:ascii="Arial" w:hAnsi="Arial" w:cs="Arial"/>
          <w:b/>
          <w:highlight w:val="cyan"/>
        </w:rPr>
        <w:t xml:space="preserve">Existe-t-il des ressources pour </w:t>
      </w:r>
      <w:r w:rsidR="00727BEC">
        <w:rPr>
          <w:rFonts w:ascii="Arial" w:hAnsi="Arial" w:cs="Arial"/>
          <w:b/>
          <w:highlight w:val="cyan"/>
        </w:rPr>
        <w:t xml:space="preserve">compléter la formation des professeurs dans les champs disciplinaires investis par les thématiques de </w:t>
      </w:r>
      <w:r w:rsidRPr="004C3614">
        <w:rPr>
          <w:rFonts w:ascii="Arial" w:hAnsi="Arial" w:cs="Arial"/>
          <w:b/>
          <w:highlight w:val="cyan"/>
        </w:rPr>
        <w:t xml:space="preserve">CEJM </w:t>
      </w:r>
      <w:r w:rsidR="00727BEC">
        <w:rPr>
          <w:rFonts w:ascii="Arial" w:hAnsi="Arial" w:cs="Arial"/>
          <w:b/>
          <w:highlight w:val="cyan"/>
        </w:rPr>
        <w:t xml:space="preserve">et CEJM </w:t>
      </w:r>
      <w:r w:rsidRPr="004C3614">
        <w:rPr>
          <w:rFonts w:ascii="Arial" w:hAnsi="Arial" w:cs="Arial"/>
          <w:b/>
          <w:highlight w:val="cyan"/>
        </w:rPr>
        <w:t>appliquée</w:t>
      </w:r>
      <w:r w:rsidR="00727BEC">
        <w:rPr>
          <w:rFonts w:ascii="Arial" w:hAnsi="Arial" w:cs="Arial"/>
          <w:b/>
          <w:highlight w:val="cyan"/>
        </w:rPr>
        <w:t xml:space="preserve"> </w:t>
      </w:r>
      <w:r w:rsidRPr="004C3614">
        <w:rPr>
          <w:rFonts w:ascii="Arial" w:hAnsi="Arial" w:cs="Arial"/>
          <w:b/>
          <w:highlight w:val="cyan"/>
        </w:rPr>
        <w:t>?</w:t>
      </w:r>
    </w:p>
    <w:p w:rsidR="00727BEC" w:rsidRDefault="00727BEC" w:rsidP="004C3614">
      <w:pPr>
        <w:jc w:val="both"/>
        <w:rPr>
          <w:rFonts w:ascii="Arial" w:hAnsi="Arial" w:cs="Arial"/>
          <w:b/>
          <w:highlight w:val="cyan"/>
        </w:rPr>
      </w:pPr>
    </w:p>
    <w:p w:rsidR="00727BEC" w:rsidRDefault="00727BEC" w:rsidP="00727BEC">
      <w:r w:rsidRPr="00727BEC">
        <w:t>Dans les</w:t>
      </w:r>
      <w:r>
        <w:t xml:space="preserve"> ressources du </w:t>
      </w:r>
      <w:r w:rsidR="0030169A">
        <w:t xml:space="preserve">réseau </w:t>
      </w:r>
      <w:r>
        <w:t>CERTA, les professeurs pourront trouver des cas d’entreprise particulièrement pertinents pour aborder certaines questions, notamment relatives au thème « l’impact numérique sur la vie de l’entreprise</w:t>
      </w:r>
      <w:r w:rsidR="0030169A">
        <w:t> ».</w:t>
      </w:r>
    </w:p>
    <w:p w:rsidR="0030169A" w:rsidRDefault="006F2839" w:rsidP="00727BEC">
      <w:hyperlink r:id="rId10" w:history="1">
        <w:r w:rsidR="0030169A" w:rsidRPr="001A7412">
          <w:rPr>
            <w:rStyle w:val="Lienhypertexte"/>
          </w:rPr>
          <w:t>http://www.reseaucerta.org/cours/analyse-économique-juridique-et-managériale-des-services-informatiques</w:t>
        </w:r>
      </w:hyperlink>
    </w:p>
    <w:p w:rsidR="0030169A" w:rsidRDefault="0030169A" w:rsidP="00727BEC"/>
    <w:p w:rsidR="0030169A" w:rsidRDefault="0030169A" w:rsidP="00727BEC"/>
    <w:p w:rsidR="0030169A" w:rsidRDefault="0030169A" w:rsidP="00727BEC">
      <w:r>
        <w:t xml:space="preserve">Sur le thème des mutations du travail, les aspects juridiques sont déjà travaillés dans le cadre d’un veille réalisés par les professeurs du CRCF : </w:t>
      </w:r>
      <w:hyperlink r:id="rId11" w:history="1">
        <w:r w:rsidRPr="001A7412">
          <w:rPr>
            <w:rStyle w:val="Lienhypertexte"/>
          </w:rPr>
          <w:t>http://crcf.ac-grenoble.fr/index.php?tg=articles&amp;topics=91&amp;new=0&amp;newc=0</w:t>
        </w:r>
      </w:hyperlink>
    </w:p>
    <w:p w:rsidR="004C3614" w:rsidRDefault="004C3614"/>
    <w:p w:rsidR="0030169A" w:rsidRDefault="0030169A" w:rsidP="0030169A">
      <w:r>
        <w:t xml:space="preserve">Les auteurs du CRCOM, produisent actuellement de ressources directement utilisables devant la classe : </w:t>
      </w:r>
      <w:hyperlink r:id="rId12" w:history="1">
        <w:r w:rsidRPr="001A7412">
          <w:rPr>
            <w:rStyle w:val="Lienhypertexte"/>
          </w:rPr>
          <w:t>https://crcom.ac-versailles.fr</w:t>
        </w:r>
      </w:hyperlink>
    </w:p>
    <w:p w:rsidR="0030169A" w:rsidRDefault="0030169A" w:rsidP="0030169A"/>
    <w:p w:rsidR="0030169A" w:rsidRDefault="0030169A" w:rsidP="0030169A">
      <w:r>
        <w:t xml:space="preserve">Plusieurs MOOC </w:t>
      </w:r>
      <w:r w:rsidR="006777CF">
        <w:t xml:space="preserve">proposent des contenus en relation avec les différentes thématiques à investir : </w:t>
      </w:r>
      <w:hyperlink r:id="rId13" w:history="1">
        <w:r w:rsidR="006777CF" w:rsidRPr="001A7412">
          <w:rPr>
            <w:rStyle w:val="Lienhypertexte"/>
          </w:rPr>
          <w:t>https://www.fun-mooc.fr</w:t>
        </w:r>
      </w:hyperlink>
    </w:p>
    <w:sectPr w:rsidR="0030169A" w:rsidSect="002F6E91">
      <w:pgSz w:w="16840" w:h="11901" w:orient="landscape"/>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oto Sans Symbols">
    <w:altName w:val="Calibri"/>
    <w:charset w:val="00"/>
    <w:family w:val="auto"/>
    <w:pitch w:val="default"/>
    <w:sig w:usb0="00000000" w:usb1="00000000" w:usb2="00000000" w:usb3="00000000" w:csb0="00000000"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swiss"/>
    <w:pitch w:val="variable"/>
    <w:sig w:usb0="E1000AEF" w:usb1="5000A1FF" w:usb2="00000000" w:usb3="00000000" w:csb0="000001BF" w:csb1="00000000"/>
  </w:font>
  <w:font w:name="Arial Narrow">
    <w:panose1 w:val="020B0606020202030204"/>
    <w:charset w:val="00"/>
    <w:family w:val="swiss"/>
    <w:pitch w:val="variable"/>
    <w:sig w:usb0="00000287" w:usb1="00000800" w:usb2="00000000" w:usb3="00000000" w:csb0="0000009F" w:csb1="00000000"/>
  </w:font>
  <w:font w:name="Mangal">
    <w:panose1 w:val="02040503050203030202"/>
    <w:charset w:val="01"/>
    <w:family w:val="roman"/>
    <w:notTrueType/>
    <w:pitch w:val="variable"/>
    <w:sig w:usb0="00002000" w:usb1="00000000" w:usb2="00000000" w:usb3="00000000" w:csb0="00000000" w:csb1="00000000"/>
  </w:font>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321682"/>
    <w:multiLevelType w:val="hybridMultilevel"/>
    <w:tmpl w:val="1A0CABB6"/>
    <w:lvl w:ilvl="0" w:tplc="040C8142">
      <w:start w:val="1"/>
      <w:numFmt w:val="bullet"/>
      <w:lvlText w:val=""/>
      <w:lvlJc w:val="left"/>
      <w:pPr>
        <w:tabs>
          <w:tab w:val="num" w:pos="720"/>
        </w:tabs>
        <w:ind w:left="720" w:hanging="360"/>
      </w:pPr>
      <w:rPr>
        <w:rFonts w:ascii="Wingdings" w:hAnsi="Wingdings" w:hint="default"/>
      </w:rPr>
    </w:lvl>
    <w:lvl w:ilvl="1" w:tplc="54443C94">
      <w:numFmt w:val="none"/>
      <w:lvlText w:val=""/>
      <w:lvlJc w:val="left"/>
      <w:pPr>
        <w:tabs>
          <w:tab w:val="num" w:pos="360"/>
        </w:tabs>
      </w:pPr>
    </w:lvl>
    <w:lvl w:ilvl="2" w:tplc="8B3CF160" w:tentative="1">
      <w:start w:val="1"/>
      <w:numFmt w:val="bullet"/>
      <w:lvlText w:val=""/>
      <w:lvlJc w:val="left"/>
      <w:pPr>
        <w:tabs>
          <w:tab w:val="num" w:pos="2160"/>
        </w:tabs>
        <w:ind w:left="2160" w:hanging="360"/>
      </w:pPr>
      <w:rPr>
        <w:rFonts w:ascii="Wingdings" w:hAnsi="Wingdings" w:hint="default"/>
      </w:rPr>
    </w:lvl>
    <w:lvl w:ilvl="3" w:tplc="9E32707C" w:tentative="1">
      <w:start w:val="1"/>
      <w:numFmt w:val="bullet"/>
      <w:lvlText w:val=""/>
      <w:lvlJc w:val="left"/>
      <w:pPr>
        <w:tabs>
          <w:tab w:val="num" w:pos="2880"/>
        </w:tabs>
        <w:ind w:left="2880" w:hanging="360"/>
      </w:pPr>
      <w:rPr>
        <w:rFonts w:ascii="Wingdings" w:hAnsi="Wingdings" w:hint="default"/>
      </w:rPr>
    </w:lvl>
    <w:lvl w:ilvl="4" w:tplc="AF8AB870" w:tentative="1">
      <w:start w:val="1"/>
      <w:numFmt w:val="bullet"/>
      <w:lvlText w:val=""/>
      <w:lvlJc w:val="left"/>
      <w:pPr>
        <w:tabs>
          <w:tab w:val="num" w:pos="3600"/>
        </w:tabs>
        <w:ind w:left="3600" w:hanging="360"/>
      </w:pPr>
      <w:rPr>
        <w:rFonts w:ascii="Wingdings" w:hAnsi="Wingdings" w:hint="default"/>
      </w:rPr>
    </w:lvl>
    <w:lvl w:ilvl="5" w:tplc="100E3F3A" w:tentative="1">
      <w:start w:val="1"/>
      <w:numFmt w:val="bullet"/>
      <w:lvlText w:val=""/>
      <w:lvlJc w:val="left"/>
      <w:pPr>
        <w:tabs>
          <w:tab w:val="num" w:pos="4320"/>
        </w:tabs>
        <w:ind w:left="4320" w:hanging="360"/>
      </w:pPr>
      <w:rPr>
        <w:rFonts w:ascii="Wingdings" w:hAnsi="Wingdings" w:hint="default"/>
      </w:rPr>
    </w:lvl>
    <w:lvl w:ilvl="6" w:tplc="27E001AE" w:tentative="1">
      <w:start w:val="1"/>
      <w:numFmt w:val="bullet"/>
      <w:lvlText w:val=""/>
      <w:lvlJc w:val="left"/>
      <w:pPr>
        <w:tabs>
          <w:tab w:val="num" w:pos="5040"/>
        </w:tabs>
        <w:ind w:left="5040" w:hanging="360"/>
      </w:pPr>
      <w:rPr>
        <w:rFonts w:ascii="Wingdings" w:hAnsi="Wingdings" w:hint="default"/>
      </w:rPr>
    </w:lvl>
    <w:lvl w:ilvl="7" w:tplc="BDF0266A" w:tentative="1">
      <w:start w:val="1"/>
      <w:numFmt w:val="bullet"/>
      <w:lvlText w:val=""/>
      <w:lvlJc w:val="left"/>
      <w:pPr>
        <w:tabs>
          <w:tab w:val="num" w:pos="5760"/>
        </w:tabs>
        <w:ind w:left="5760" w:hanging="360"/>
      </w:pPr>
      <w:rPr>
        <w:rFonts w:ascii="Wingdings" w:hAnsi="Wingdings" w:hint="default"/>
      </w:rPr>
    </w:lvl>
    <w:lvl w:ilvl="8" w:tplc="221AC320" w:tentative="1">
      <w:start w:val="1"/>
      <w:numFmt w:val="bullet"/>
      <w:lvlText w:val=""/>
      <w:lvlJc w:val="left"/>
      <w:pPr>
        <w:tabs>
          <w:tab w:val="num" w:pos="6480"/>
        </w:tabs>
        <w:ind w:left="6480" w:hanging="360"/>
      </w:pPr>
      <w:rPr>
        <w:rFonts w:ascii="Wingdings" w:hAnsi="Wingdings" w:hint="default"/>
      </w:rPr>
    </w:lvl>
  </w:abstractNum>
  <w:abstractNum w:abstractNumId="1">
    <w:nsid w:val="1D2D7C92"/>
    <w:multiLevelType w:val="hybridMultilevel"/>
    <w:tmpl w:val="983473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22635C6"/>
    <w:multiLevelType w:val="hybridMultilevel"/>
    <w:tmpl w:val="77AED7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62D1F76"/>
    <w:multiLevelType w:val="hybridMultilevel"/>
    <w:tmpl w:val="55D8C86A"/>
    <w:lvl w:ilvl="0" w:tplc="0EC4AFE8">
      <w:start w:val="1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BA44861"/>
    <w:multiLevelType w:val="multilevel"/>
    <w:tmpl w:val="E7229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1E46989"/>
    <w:multiLevelType w:val="hybridMultilevel"/>
    <w:tmpl w:val="16D8A184"/>
    <w:lvl w:ilvl="0" w:tplc="040C0001">
      <w:start w:val="1"/>
      <w:numFmt w:val="bullet"/>
      <w:lvlText w:val=""/>
      <w:lvlJc w:val="left"/>
      <w:pPr>
        <w:ind w:left="-294" w:hanging="360"/>
      </w:pPr>
      <w:rPr>
        <w:rFonts w:ascii="Symbol" w:hAnsi="Symbol" w:hint="default"/>
      </w:rPr>
    </w:lvl>
    <w:lvl w:ilvl="1" w:tplc="040C0003" w:tentative="1">
      <w:start w:val="1"/>
      <w:numFmt w:val="bullet"/>
      <w:lvlText w:val="o"/>
      <w:lvlJc w:val="left"/>
      <w:pPr>
        <w:ind w:left="426" w:hanging="360"/>
      </w:pPr>
      <w:rPr>
        <w:rFonts w:ascii="Courier New" w:hAnsi="Courier New" w:cs="Courier New" w:hint="default"/>
      </w:rPr>
    </w:lvl>
    <w:lvl w:ilvl="2" w:tplc="040C0005" w:tentative="1">
      <w:start w:val="1"/>
      <w:numFmt w:val="bullet"/>
      <w:lvlText w:val=""/>
      <w:lvlJc w:val="left"/>
      <w:pPr>
        <w:ind w:left="1146" w:hanging="360"/>
      </w:pPr>
      <w:rPr>
        <w:rFonts w:ascii="Wingdings" w:hAnsi="Wingdings" w:hint="default"/>
      </w:rPr>
    </w:lvl>
    <w:lvl w:ilvl="3" w:tplc="040C0001" w:tentative="1">
      <w:start w:val="1"/>
      <w:numFmt w:val="bullet"/>
      <w:lvlText w:val=""/>
      <w:lvlJc w:val="left"/>
      <w:pPr>
        <w:ind w:left="1866" w:hanging="360"/>
      </w:pPr>
      <w:rPr>
        <w:rFonts w:ascii="Symbol" w:hAnsi="Symbol" w:hint="default"/>
      </w:rPr>
    </w:lvl>
    <w:lvl w:ilvl="4" w:tplc="040C0003" w:tentative="1">
      <w:start w:val="1"/>
      <w:numFmt w:val="bullet"/>
      <w:lvlText w:val="o"/>
      <w:lvlJc w:val="left"/>
      <w:pPr>
        <w:ind w:left="2586" w:hanging="360"/>
      </w:pPr>
      <w:rPr>
        <w:rFonts w:ascii="Courier New" w:hAnsi="Courier New" w:cs="Courier New" w:hint="default"/>
      </w:rPr>
    </w:lvl>
    <w:lvl w:ilvl="5" w:tplc="040C0005" w:tentative="1">
      <w:start w:val="1"/>
      <w:numFmt w:val="bullet"/>
      <w:lvlText w:val=""/>
      <w:lvlJc w:val="left"/>
      <w:pPr>
        <w:ind w:left="3306" w:hanging="360"/>
      </w:pPr>
      <w:rPr>
        <w:rFonts w:ascii="Wingdings" w:hAnsi="Wingdings" w:hint="default"/>
      </w:rPr>
    </w:lvl>
    <w:lvl w:ilvl="6" w:tplc="040C0001" w:tentative="1">
      <w:start w:val="1"/>
      <w:numFmt w:val="bullet"/>
      <w:lvlText w:val=""/>
      <w:lvlJc w:val="left"/>
      <w:pPr>
        <w:ind w:left="4026" w:hanging="360"/>
      </w:pPr>
      <w:rPr>
        <w:rFonts w:ascii="Symbol" w:hAnsi="Symbol" w:hint="default"/>
      </w:rPr>
    </w:lvl>
    <w:lvl w:ilvl="7" w:tplc="040C0003" w:tentative="1">
      <w:start w:val="1"/>
      <w:numFmt w:val="bullet"/>
      <w:lvlText w:val="o"/>
      <w:lvlJc w:val="left"/>
      <w:pPr>
        <w:ind w:left="4746" w:hanging="360"/>
      </w:pPr>
      <w:rPr>
        <w:rFonts w:ascii="Courier New" w:hAnsi="Courier New" w:cs="Courier New" w:hint="default"/>
      </w:rPr>
    </w:lvl>
    <w:lvl w:ilvl="8" w:tplc="040C0005" w:tentative="1">
      <w:start w:val="1"/>
      <w:numFmt w:val="bullet"/>
      <w:lvlText w:val=""/>
      <w:lvlJc w:val="left"/>
      <w:pPr>
        <w:ind w:left="5466" w:hanging="360"/>
      </w:pPr>
      <w:rPr>
        <w:rFonts w:ascii="Wingdings" w:hAnsi="Wingdings" w:hint="default"/>
      </w:rPr>
    </w:lvl>
  </w:abstractNum>
  <w:abstractNum w:abstractNumId="6">
    <w:nsid w:val="61F702E7"/>
    <w:multiLevelType w:val="multilevel"/>
    <w:tmpl w:val="14A67E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75A34B89"/>
    <w:multiLevelType w:val="hybridMultilevel"/>
    <w:tmpl w:val="2AFA2A9A"/>
    <w:lvl w:ilvl="0" w:tplc="0EC4AFE8">
      <w:start w:val="1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7762298B"/>
    <w:multiLevelType w:val="hybridMultilevel"/>
    <w:tmpl w:val="F8D80C60"/>
    <w:lvl w:ilvl="0" w:tplc="1B24907C">
      <w:start w:val="1"/>
      <w:numFmt w:val="bullet"/>
      <w:lvlText w:val="•"/>
      <w:lvlJc w:val="left"/>
      <w:pPr>
        <w:tabs>
          <w:tab w:val="num" w:pos="720"/>
        </w:tabs>
        <w:ind w:left="720" w:hanging="360"/>
      </w:pPr>
      <w:rPr>
        <w:rFonts w:ascii="Times" w:hAnsi="Times" w:hint="default"/>
      </w:rPr>
    </w:lvl>
    <w:lvl w:ilvl="1" w:tplc="55C26BE2">
      <w:numFmt w:val="bullet"/>
      <w:lvlText w:val="•"/>
      <w:lvlJc w:val="left"/>
      <w:pPr>
        <w:tabs>
          <w:tab w:val="num" w:pos="1440"/>
        </w:tabs>
        <w:ind w:left="1440" w:hanging="360"/>
      </w:pPr>
      <w:rPr>
        <w:rFonts w:ascii="Times" w:hAnsi="Times" w:hint="default"/>
      </w:rPr>
    </w:lvl>
    <w:lvl w:ilvl="2" w:tplc="3C6C49C4" w:tentative="1">
      <w:start w:val="1"/>
      <w:numFmt w:val="bullet"/>
      <w:lvlText w:val="•"/>
      <w:lvlJc w:val="left"/>
      <w:pPr>
        <w:tabs>
          <w:tab w:val="num" w:pos="2160"/>
        </w:tabs>
        <w:ind w:left="2160" w:hanging="360"/>
      </w:pPr>
      <w:rPr>
        <w:rFonts w:ascii="Times" w:hAnsi="Times" w:hint="default"/>
      </w:rPr>
    </w:lvl>
    <w:lvl w:ilvl="3" w:tplc="69B60234" w:tentative="1">
      <w:start w:val="1"/>
      <w:numFmt w:val="bullet"/>
      <w:lvlText w:val="•"/>
      <w:lvlJc w:val="left"/>
      <w:pPr>
        <w:tabs>
          <w:tab w:val="num" w:pos="2880"/>
        </w:tabs>
        <w:ind w:left="2880" w:hanging="360"/>
      </w:pPr>
      <w:rPr>
        <w:rFonts w:ascii="Times" w:hAnsi="Times" w:hint="default"/>
      </w:rPr>
    </w:lvl>
    <w:lvl w:ilvl="4" w:tplc="C7A0D71C" w:tentative="1">
      <w:start w:val="1"/>
      <w:numFmt w:val="bullet"/>
      <w:lvlText w:val="•"/>
      <w:lvlJc w:val="left"/>
      <w:pPr>
        <w:tabs>
          <w:tab w:val="num" w:pos="3600"/>
        </w:tabs>
        <w:ind w:left="3600" w:hanging="360"/>
      </w:pPr>
      <w:rPr>
        <w:rFonts w:ascii="Times" w:hAnsi="Times" w:hint="default"/>
      </w:rPr>
    </w:lvl>
    <w:lvl w:ilvl="5" w:tplc="D8887D7E" w:tentative="1">
      <w:start w:val="1"/>
      <w:numFmt w:val="bullet"/>
      <w:lvlText w:val="•"/>
      <w:lvlJc w:val="left"/>
      <w:pPr>
        <w:tabs>
          <w:tab w:val="num" w:pos="4320"/>
        </w:tabs>
        <w:ind w:left="4320" w:hanging="360"/>
      </w:pPr>
      <w:rPr>
        <w:rFonts w:ascii="Times" w:hAnsi="Times" w:hint="default"/>
      </w:rPr>
    </w:lvl>
    <w:lvl w:ilvl="6" w:tplc="F2345E30" w:tentative="1">
      <w:start w:val="1"/>
      <w:numFmt w:val="bullet"/>
      <w:lvlText w:val="•"/>
      <w:lvlJc w:val="left"/>
      <w:pPr>
        <w:tabs>
          <w:tab w:val="num" w:pos="5040"/>
        </w:tabs>
        <w:ind w:left="5040" w:hanging="360"/>
      </w:pPr>
      <w:rPr>
        <w:rFonts w:ascii="Times" w:hAnsi="Times" w:hint="default"/>
      </w:rPr>
    </w:lvl>
    <w:lvl w:ilvl="7" w:tplc="EC262EB2" w:tentative="1">
      <w:start w:val="1"/>
      <w:numFmt w:val="bullet"/>
      <w:lvlText w:val="•"/>
      <w:lvlJc w:val="left"/>
      <w:pPr>
        <w:tabs>
          <w:tab w:val="num" w:pos="5760"/>
        </w:tabs>
        <w:ind w:left="5760" w:hanging="360"/>
      </w:pPr>
      <w:rPr>
        <w:rFonts w:ascii="Times" w:hAnsi="Times" w:hint="default"/>
      </w:rPr>
    </w:lvl>
    <w:lvl w:ilvl="8" w:tplc="CD7E16C8" w:tentative="1">
      <w:start w:val="1"/>
      <w:numFmt w:val="bullet"/>
      <w:lvlText w:val="•"/>
      <w:lvlJc w:val="left"/>
      <w:pPr>
        <w:tabs>
          <w:tab w:val="num" w:pos="6480"/>
        </w:tabs>
        <w:ind w:left="6480" w:hanging="360"/>
      </w:pPr>
      <w:rPr>
        <w:rFonts w:ascii="Times" w:hAnsi="Times" w:hint="default"/>
      </w:rPr>
    </w:lvl>
  </w:abstractNum>
  <w:abstractNum w:abstractNumId="9">
    <w:nsid w:val="79E33AD1"/>
    <w:multiLevelType w:val="hybridMultilevel"/>
    <w:tmpl w:val="4FA620F6"/>
    <w:lvl w:ilvl="0" w:tplc="0EC4AFE8">
      <w:start w:val="1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2"/>
  </w:num>
  <w:num w:numId="4">
    <w:abstractNumId w:val="7"/>
  </w:num>
  <w:num w:numId="5">
    <w:abstractNumId w:val="9"/>
  </w:num>
  <w:num w:numId="6">
    <w:abstractNumId w:val="1"/>
  </w:num>
  <w:num w:numId="7">
    <w:abstractNumId w:val="6"/>
  </w:num>
  <w:num w:numId="8">
    <w:abstractNumId w:val="5"/>
  </w:num>
  <w:num w:numId="9">
    <w:abstractNumId w:val="3"/>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compat>
    <w:useFELayout/>
  </w:compat>
  <w:rsids>
    <w:rsidRoot w:val="003D063E"/>
    <w:rsid w:val="00023C22"/>
    <w:rsid w:val="00085418"/>
    <w:rsid w:val="000B5FD4"/>
    <w:rsid w:val="000D1385"/>
    <w:rsid w:val="0010627F"/>
    <w:rsid w:val="00131B09"/>
    <w:rsid w:val="00160966"/>
    <w:rsid w:val="00177B7A"/>
    <w:rsid w:val="001D24CA"/>
    <w:rsid w:val="001E2027"/>
    <w:rsid w:val="002129AF"/>
    <w:rsid w:val="00242364"/>
    <w:rsid w:val="00287293"/>
    <w:rsid w:val="002C4803"/>
    <w:rsid w:val="002D2364"/>
    <w:rsid w:val="002E2B68"/>
    <w:rsid w:val="002E5176"/>
    <w:rsid w:val="002F6E91"/>
    <w:rsid w:val="0030169A"/>
    <w:rsid w:val="00327511"/>
    <w:rsid w:val="0036128B"/>
    <w:rsid w:val="00373B5D"/>
    <w:rsid w:val="00385C1E"/>
    <w:rsid w:val="0038719F"/>
    <w:rsid w:val="003D063E"/>
    <w:rsid w:val="003D0B9E"/>
    <w:rsid w:val="00462E24"/>
    <w:rsid w:val="00490004"/>
    <w:rsid w:val="004B30E4"/>
    <w:rsid w:val="004C3614"/>
    <w:rsid w:val="005061CD"/>
    <w:rsid w:val="00512AA7"/>
    <w:rsid w:val="00536DB6"/>
    <w:rsid w:val="005A6134"/>
    <w:rsid w:val="005D3C86"/>
    <w:rsid w:val="005D4CF1"/>
    <w:rsid w:val="005F2FDA"/>
    <w:rsid w:val="00634030"/>
    <w:rsid w:val="00635FDB"/>
    <w:rsid w:val="0064675F"/>
    <w:rsid w:val="00653EA6"/>
    <w:rsid w:val="00654090"/>
    <w:rsid w:val="00654C7D"/>
    <w:rsid w:val="006728C6"/>
    <w:rsid w:val="006777CF"/>
    <w:rsid w:val="006B5DB8"/>
    <w:rsid w:val="006B6C1C"/>
    <w:rsid w:val="006D3965"/>
    <w:rsid w:val="006E73D8"/>
    <w:rsid w:val="006F2839"/>
    <w:rsid w:val="00702738"/>
    <w:rsid w:val="00721425"/>
    <w:rsid w:val="00722D4E"/>
    <w:rsid w:val="00727BEC"/>
    <w:rsid w:val="0077051F"/>
    <w:rsid w:val="00795174"/>
    <w:rsid w:val="007B0B54"/>
    <w:rsid w:val="007B1FD6"/>
    <w:rsid w:val="007D3048"/>
    <w:rsid w:val="007D5B13"/>
    <w:rsid w:val="007E45D0"/>
    <w:rsid w:val="0082655D"/>
    <w:rsid w:val="0086238B"/>
    <w:rsid w:val="00881284"/>
    <w:rsid w:val="0088388B"/>
    <w:rsid w:val="008C1899"/>
    <w:rsid w:val="008C18E0"/>
    <w:rsid w:val="0090793F"/>
    <w:rsid w:val="00915A9B"/>
    <w:rsid w:val="00917F08"/>
    <w:rsid w:val="009315F9"/>
    <w:rsid w:val="00941702"/>
    <w:rsid w:val="00971A99"/>
    <w:rsid w:val="00972D17"/>
    <w:rsid w:val="00994A49"/>
    <w:rsid w:val="009B5F50"/>
    <w:rsid w:val="009C3078"/>
    <w:rsid w:val="009F7A61"/>
    <w:rsid w:val="00A90299"/>
    <w:rsid w:val="00AD0318"/>
    <w:rsid w:val="00AE1214"/>
    <w:rsid w:val="00B61657"/>
    <w:rsid w:val="00BA0399"/>
    <w:rsid w:val="00BB353F"/>
    <w:rsid w:val="00C30390"/>
    <w:rsid w:val="00C65207"/>
    <w:rsid w:val="00C809D8"/>
    <w:rsid w:val="00CC13B6"/>
    <w:rsid w:val="00CC77F4"/>
    <w:rsid w:val="00CD753C"/>
    <w:rsid w:val="00D11A7F"/>
    <w:rsid w:val="00D14F05"/>
    <w:rsid w:val="00D177AA"/>
    <w:rsid w:val="00D453C3"/>
    <w:rsid w:val="00D52749"/>
    <w:rsid w:val="00D95A25"/>
    <w:rsid w:val="00D97FF7"/>
    <w:rsid w:val="00DB268F"/>
    <w:rsid w:val="00DB69C3"/>
    <w:rsid w:val="00DD6567"/>
    <w:rsid w:val="00DD7061"/>
    <w:rsid w:val="00DD7C79"/>
    <w:rsid w:val="00E21293"/>
    <w:rsid w:val="00E30CF9"/>
    <w:rsid w:val="00E53121"/>
    <w:rsid w:val="00E93AB4"/>
    <w:rsid w:val="00EB0D20"/>
    <w:rsid w:val="00EB15E6"/>
    <w:rsid w:val="00EE202A"/>
    <w:rsid w:val="00F00DBE"/>
    <w:rsid w:val="00FB3B0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283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F2FDA"/>
    <w:pPr>
      <w:spacing w:before="100" w:beforeAutospacing="1" w:after="100" w:afterAutospacing="1"/>
    </w:pPr>
    <w:rPr>
      <w:rFonts w:ascii="Times" w:hAnsi="Times" w:cs="Times New Roman"/>
      <w:sz w:val="20"/>
      <w:szCs w:val="20"/>
    </w:rPr>
  </w:style>
  <w:style w:type="character" w:styleId="Lienhypertexte">
    <w:name w:val="Hyperlink"/>
    <w:basedOn w:val="Policepardfaut"/>
    <w:uiPriority w:val="99"/>
    <w:unhideWhenUsed/>
    <w:rsid w:val="00EB0D20"/>
    <w:rPr>
      <w:color w:val="0000FF" w:themeColor="hyperlink"/>
      <w:u w:val="single"/>
    </w:rPr>
  </w:style>
  <w:style w:type="paragraph" w:styleId="Textedebulles">
    <w:name w:val="Balloon Text"/>
    <w:basedOn w:val="Normal"/>
    <w:link w:val="TextedebullesCar"/>
    <w:uiPriority w:val="99"/>
    <w:semiHidden/>
    <w:unhideWhenUsed/>
    <w:rsid w:val="00881284"/>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881284"/>
    <w:rPr>
      <w:rFonts w:ascii="Lucida Grande" w:hAnsi="Lucida Grande" w:cs="Lucida Grande"/>
      <w:sz w:val="18"/>
      <w:szCs w:val="18"/>
    </w:rPr>
  </w:style>
  <w:style w:type="paragraph" w:customStyle="1" w:styleId="Standard">
    <w:name w:val="Standard"/>
    <w:uiPriority w:val="99"/>
    <w:rsid w:val="00915A9B"/>
    <w:pPr>
      <w:suppressAutoHyphens/>
      <w:autoSpaceDN w:val="0"/>
      <w:textAlignment w:val="baseline"/>
    </w:pPr>
    <w:rPr>
      <w:rFonts w:ascii="Arial Narrow" w:eastAsia="Times New Roman" w:hAnsi="Arial Narrow" w:cs="Mangal"/>
      <w:b/>
      <w:kern w:val="3"/>
      <w:lang w:eastAsia="en-US" w:bidi="hi-IN"/>
    </w:rPr>
  </w:style>
  <w:style w:type="paragraph" w:styleId="Paragraphedeliste">
    <w:name w:val="List Paragraph"/>
    <w:basedOn w:val="Normal"/>
    <w:uiPriority w:val="34"/>
    <w:qFormat/>
    <w:rsid w:val="00915A9B"/>
    <w:pPr>
      <w:ind w:left="720"/>
      <w:contextualSpacing/>
    </w:pPr>
  </w:style>
  <w:style w:type="paragraph" w:styleId="En-tte">
    <w:name w:val="header"/>
    <w:basedOn w:val="Normal"/>
    <w:link w:val="En-tteCar"/>
    <w:uiPriority w:val="99"/>
    <w:unhideWhenUsed/>
    <w:rsid w:val="00FB3B00"/>
    <w:pPr>
      <w:tabs>
        <w:tab w:val="center" w:pos="4536"/>
        <w:tab w:val="right" w:pos="9072"/>
      </w:tabs>
    </w:pPr>
    <w:rPr>
      <w:rFonts w:ascii="Times New Roman" w:eastAsia="Times New Roman" w:hAnsi="Times New Roman" w:cs="Times New Roman"/>
    </w:rPr>
  </w:style>
  <w:style w:type="character" w:customStyle="1" w:styleId="En-tteCar">
    <w:name w:val="En-tête Car"/>
    <w:basedOn w:val="Policepardfaut"/>
    <w:link w:val="En-tte"/>
    <w:uiPriority w:val="99"/>
    <w:rsid w:val="00FB3B00"/>
    <w:rPr>
      <w:rFonts w:ascii="Times New Roman" w:eastAsia="Times New Roman" w:hAnsi="Times New Roman" w:cs="Times New Roman"/>
    </w:rPr>
  </w:style>
  <w:style w:type="character" w:styleId="Marquedecommentaire">
    <w:name w:val="annotation reference"/>
    <w:basedOn w:val="Policepardfaut"/>
    <w:uiPriority w:val="99"/>
    <w:semiHidden/>
    <w:unhideWhenUsed/>
    <w:rsid w:val="009315F9"/>
    <w:rPr>
      <w:sz w:val="16"/>
      <w:szCs w:val="16"/>
    </w:rPr>
  </w:style>
  <w:style w:type="paragraph" w:styleId="Commentaire">
    <w:name w:val="annotation text"/>
    <w:basedOn w:val="Normal"/>
    <w:link w:val="CommentaireCar"/>
    <w:uiPriority w:val="99"/>
    <w:semiHidden/>
    <w:unhideWhenUsed/>
    <w:rsid w:val="009315F9"/>
    <w:rPr>
      <w:sz w:val="20"/>
      <w:szCs w:val="20"/>
    </w:rPr>
  </w:style>
  <w:style w:type="character" w:customStyle="1" w:styleId="CommentaireCar">
    <w:name w:val="Commentaire Car"/>
    <w:basedOn w:val="Policepardfaut"/>
    <w:link w:val="Commentaire"/>
    <w:uiPriority w:val="99"/>
    <w:semiHidden/>
    <w:rsid w:val="009315F9"/>
    <w:rPr>
      <w:sz w:val="20"/>
      <w:szCs w:val="20"/>
    </w:rPr>
  </w:style>
  <w:style w:type="paragraph" w:styleId="Objetducommentaire">
    <w:name w:val="annotation subject"/>
    <w:basedOn w:val="Commentaire"/>
    <w:next w:val="Commentaire"/>
    <w:link w:val="ObjetducommentaireCar"/>
    <w:uiPriority w:val="99"/>
    <w:semiHidden/>
    <w:unhideWhenUsed/>
    <w:rsid w:val="009315F9"/>
    <w:rPr>
      <w:b/>
      <w:bCs/>
    </w:rPr>
  </w:style>
  <w:style w:type="character" w:customStyle="1" w:styleId="ObjetducommentaireCar">
    <w:name w:val="Objet du commentaire Car"/>
    <w:basedOn w:val="CommentaireCar"/>
    <w:link w:val="Objetducommentaire"/>
    <w:uiPriority w:val="99"/>
    <w:semiHidden/>
    <w:rsid w:val="009315F9"/>
    <w:rPr>
      <w:b/>
      <w:bCs/>
      <w:sz w:val="20"/>
      <w:szCs w:val="20"/>
    </w:rPr>
  </w:style>
  <w:style w:type="paragraph" w:styleId="Rvision">
    <w:name w:val="Revision"/>
    <w:hidden/>
    <w:uiPriority w:val="99"/>
    <w:semiHidden/>
    <w:rsid w:val="002E5176"/>
  </w:style>
  <w:style w:type="table" w:styleId="Grilledutableau">
    <w:name w:val="Table Grid"/>
    <w:basedOn w:val="TableauNormal"/>
    <w:uiPriority w:val="59"/>
    <w:unhideWhenUsed/>
    <w:rsid w:val="002E2B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Policepardfaut"/>
    <w:uiPriority w:val="99"/>
    <w:semiHidden/>
    <w:unhideWhenUsed/>
    <w:rsid w:val="0030169A"/>
    <w:rPr>
      <w:color w:val="808080"/>
      <w:shd w:val="clear" w:color="auto" w:fill="E6E6E6"/>
    </w:rPr>
  </w:style>
  <w:style w:type="character" w:styleId="Lienhypertextesuivivisit">
    <w:name w:val="FollowedHyperlink"/>
    <w:basedOn w:val="Policepardfaut"/>
    <w:uiPriority w:val="99"/>
    <w:semiHidden/>
    <w:unhideWhenUsed/>
    <w:rsid w:val="008C1899"/>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89489389">
      <w:bodyDiv w:val="1"/>
      <w:marLeft w:val="0"/>
      <w:marRight w:val="0"/>
      <w:marTop w:val="0"/>
      <w:marBottom w:val="0"/>
      <w:divBdr>
        <w:top w:val="none" w:sz="0" w:space="0" w:color="auto"/>
        <w:left w:val="none" w:sz="0" w:space="0" w:color="auto"/>
        <w:bottom w:val="none" w:sz="0" w:space="0" w:color="auto"/>
        <w:right w:val="none" w:sz="0" w:space="0" w:color="auto"/>
      </w:divBdr>
    </w:div>
    <w:div w:id="239798577">
      <w:bodyDiv w:val="1"/>
      <w:marLeft w:val="0"/>
      <w:marRight w:val="0"/>
      <w:marTop w:val="0"/>
      <w:marBottom w:val="0"/>
      <w:divBdr>
        <w:top w:val="none" w:sz="0" w:space="0" w:color="auto"/>
        <w:left w:val="none" w:sz="0" w:space="0" w:color="auto"/>
        <w:bottom w:val="none" w:sz="0" w:space="0" w:color="auto"/>
        <w:right w:val="none" w:sz="0" w:space="0" w:color="auto"/>
      </w:divBdr>
    </w:div>
    <w:div w:id="505827045">
      <w:bodyDiv w:val="1"/>
      <w:marLeft w:val="0"/>
      <w:marRight w:val="0"/>
      <w:marTop w:val="0"/>
      <w:marBottom w:val="0"/>
      <w:divBdr>
        <w:top w:val="none" w:sz="0" w:space="0" w:color="auto"/>
        <w:left w:val="none" w:sz="0" w:space="0" w:color="auto"/>
        <w:bottom w:val="none" w:sz="0" w:space="0" w:color="auto"/>
        <w:right w:val="none" w:sz="0" w:space="0" w:color="auto"/>
      </w:divBdr>
      <w:divsChild>
        <w:div w:id="916356999">
          <w:marLeft w:val="389"/>
          <w:marRight w:val="0"/>
          <w:marTop w:val="288"/>
          <w:marBottom w:val="192"/>
          <w:divBdr>
            <w:top w:val="none" w:sz="0" w:space="0" w:color="auto"/>
            <w:left w:val="none" w:sz="0" w:space="0" w:color="auto"/>
            <w:bottom w:val="none" w:sz="0" w:space="0" w:color="auto"/>
            <w:right w:val="none" w:sz="0" w:space="0" w:color="auto"/>
          </w:divBdr>
        </w:div>
        <w:div w:id="592519672">
          <w:marLeft w:val="662"/>
          <w:marRight w:val="0"/>
          <w:marTop w:val="72"/>
          <w:marBottom w:val="0"/>
          <w:divBdr>
            <w:top w:val="none" w:sz="0" w:space="0" w:color="auto"/>
            <w:left w:val="none" w:sz="0" w:space="0" w:color="auto"/>
            <w:bottom w:val="none" w:sz="0" w:space="0" w:color="auto"/>
            <w:right w:val="none" w:sz="0" w:space="0" w:color="auto"/>
          </w:divBdr>
        </w:div>
        <w:div w:id="1777746554">
          <w:marLeft w:val="662"/>
          <w:marRight w:val="0"/>
          <w:marTop w:val="72"/>
          <w:marBottom w:val="0"/>
          <w:divBdr>
            <w:top w:val="none" w:sz="0" w:space="0" w:color="auto"/>
            <w:left w:val="none" w:sz="0" w:space="0" w:color="auto"/>
            <w:bottom w:val="none" w:sz="0" w:space="0" w:color="auto"/>
            <w:right w:val="none" w:sz="0" w:space="0" w:color="auto"/>
          </w:divBdr>
        </w:div>
        <w:div w:id="885727083">
          <w:marLeft w:val="389"/>
          <w:marRight w:val="0"/>
          <w:marTop w:val="288"/>
          <w:marBottom w:val="192"/>
          <w:divBdr>
            <w:top w:val="none" w:sz="0" w:space="0" w:color="auto"/>
            <w:left w:val="none" w:sz="0" w:space="0" w:color="auto"/>
            <w:bottom w:val="none" w:sz="0" w:space="0" w:color="auto"/>
            <w:right w:val="none" w:sz="0" w:space="0" w:color="auto"/>
          </w:divBdr>
        </w:div>
        <w:div w:id="1203323504">
          <w:marLeft w:val="662"/>
          <w:marRight w:val="0"/>
          <w:marTop w:val="72"/>
          <w:marBottom w:val="0"/>
          <w:divBdr>
            <w:top w:val="none" w:sz="0" w:space="0" w:color="auto"/>
            <w:left w:val="none" w:sz="0" w:space="0" w:color="auto"/>
            <w:bottom w:val="none" w:sz="0" w:space="0" w:color="auto"/>
            <w:right w:val="none" w:sz="0" w:space="0" w:color="auto"/>
          </w:divBdr>
        </w:div>
        <w:div w:id="2097288682">
          <w:marLeft w:val="662"/>
          <w:marRight w:val="0"/>
          <w:marTop w:val="72"/>
          <w:marBottom w:val="0"/>
          <w:divBdr>
            <w:top w:val="none" w:sz="0" w:space="0" w:color="auto"/>
            <w:left w:val="none" w:sz="0" w:space="0" w:color="auto"/>
            <w:bottom w:val="none" w:sz="0" w:space="0" w:color="auto"/>
            <w:right w:val="none" w:sz="0" w:space="0" w:color="auto"/>
          </w:divBdr>
        </w:div>
        <w:div w:id="986784261">
          <w:marLeft w:val="662"/>
          <w:marRight w:val="0"/>
          <w:marTop w:val="72"/>
          <w:marBottom w:val="0"/>
          <w:divBdr>
            <w:top w:val="none" w:sz="0" w:space="0" w:color="auto"/>
            <w:left w:val="none" w:sz="0" w:space="0" w:color="auto"/>
            <w:bottom w:val="none" w:sz="0" w:space="0" w:color="auto"/>
            <w:right w:val="none" w:sz="0" w:space="0" w:color="auto"/>
          </w:divBdr>
        </w:div>
      </w:divsChild>
    </w:div>
    <w:div w:id="1620524795">
      <w:bodyDiv w:val="1"/>
      <w:marLeft w:val="0"/>
      <w:marRight w:val="0"/>
      <w:marTop w:val="0"/>
      <w:marBottom w:val="0"/>
      <w:divBdr>
        <w:top w:val="none" w:sz="0" w:space="0" w:color="auto"/>
        <w:left w:val="none" w:sz="0" w:space="0" w:color="auto"/>
        <w:bottom w:val="none" w:sz="0" w:space="0" w:color="auto"/>
        <w:right w:val="none" w:sz="0" w:space="0" w:color="auto"/>
      </w:divBdr>
      <w:divsChild>
        <w:div w:id="645092494">
          <w:marLeft w:val="547"/>
          <w:marRight w:val="0"/>
          <w:marTop w:val="0"/>
          <w:marBottom w:val="0"/>
          <w:divBdr>
            <w:top w:val="none" w:sz="0" w:space="0" w:color="auto"/>
            <w:left w:val="none" w:sz="0" w:space="0" w:color="auto"/>
            <w:bottom w:val="none" w:sz="0" w:space="0" w:color="auto"/>
            <w:right w:val="none" w:sz="0" w:space="0" w:color="auto"/>
          </w:divBdr>
        </w:div>
        <w:div w:id="1048916476">
          <w:marLeft w:val="547"/>
          <w:marRight w:val="0"/>
          <w:marTop w:val="0"/>
          <w:marBottom w:val="0"/>
          <w:divBdr>
            <w:top w:val="none" w:sz="0" w:space="0" w:color="auto"/>
            <w:left w:val="none" w:sz="0" w:space="0" w:color="auto"/>
            <w:bottom w:val="none" w:sz="0" w:space="0" w:color="auto"/>
            <w:right w:val="none" w:sz="0" w:space="0" w:color="auto"/>
          </w:divBdr>
        </w:div>
        <w:div w:id="1652825343">
          <w:marLeft w:val="1166"/>
          <w:marRight w:val="0"/>
          <w:marTop w:val="0"/>
          <w:marBottom w:val="0"/>
          <w:divBdr>
            <w:top w:val="none" w:sz="0" w:space="0" w:color="auto"/>
            <w:left w:val="none" w:sz="0" w:space="0" w:color="auto"/>
            <w:bottom w:val="none" w:sz="0" w:space="0" w:color="auto"/>
            <w:right w:val="none" w:sz="0" w:space="0" w:color="auto"/>
          </w:divBdr>
        </w:div>
        <w:div w:id="219099532">
          <w:marLeft w:val="547"/>
          <w:marRight w:val="0"/>
          <w:marTop w:val="0"/>
          <w:marBottom w:val="0"/>
          <w:divBdr>
            <w:top w:val="none" w:sz="0" w:space="0" w:color="auto"/>
            <w:left w:val="none" w:sz="0" w:space="0" w:color="auto"/>
            <w:bottom w:val="none" w:sz="0" w:space="0" w:color="auto"/>
            <w:right w:val="none" w:sz="0" w:space="0" w:color="auto"/>
          </w:divBdr>
        </w:div>
        <w:div w:id="1225028680">
          <w:marLeft w:val="1166"/>
          <w:marRight w:val="0"/>
          <w:marTop w:val="0"/>
          <w:marBottom w:val="0"/>
          <w:divBdr>
            <w:top w:val="none" w:sz="0" w:space="0" w:color="auto"/>
            <w:left w:val="none" w:sz="0" w:space="0" w:color="auto"/>
            <w:bottom w:val="none" w:sz="0" w:space="0" w:color="auto"/>
            <w:right w:val="none" w:sz="0" w:space="0" w:color="auto"/>
          </w:divBdr>
        </w:div>
        <w:div w:id="2108648638">
          <w:marLeft w:val="547"/>
          <w:marRight w:val="0"/>
          <w:marTop w:val="0"/>
          <w:marBottom w:val="0"/>
          <w:divBdr>
            <w:top w:val="none" w:sz="0" w:space="0" w:color="auto"/>
            <w:left w:val="none" w:sz="0" w:space="0" w:color="auto"/>
            <w:bottom w:val="none" w:sz="0" w:space="0" w:color="auto"/>
            <w:right w:val="none" w:sz="0" w:space="0" w:color="auto"/>
          </w:divBdr>
        </w:div>
        <w:div w:id="675503085">
          <w:marLeft w:val="1166"/>
          <w:marRight w:val="0"/>
          <w:marTop w:val="0"/>
          <w:marBottom w:val="0"/>
          <w:divBdr>
            <w:top w:val="none" w:sz="0" w:space="0" w:color="auto"/>
            <w:left w:val="none" w:sz="0" w:space="0" w:color="auto"/>
            <w:bottom w:val="none" w:sz="0" w:space="0" w:color="auto"/>
            <w:right w:val="none" w:sz="0" w:space="0" w:color="auto"/>
          </w:divBdr>
        </w:div>
        <w:div w:id="1580480575">
          <w:marLeft w:val="547"/>
          <w:marRight w:val="0"/>
          <w:marTop w:val="0"/>
          <w:marBottom w:val="0"/>
          <w:divBdr>
            <w:top w:val="none" w:sz="0" w:space="0" w:color="auto"/>
            <w:left w:val="none" w:sz="0" w:space="0" w:color="auto"/>
            <w:bottom w:val="none" w:sz="0" w:space="0" w:color="auto"/>
            <w:right w:val="none" w:sz="0" w:space="0" w:color="auto"/>
          </w:divBdr>
        </w:div>
        <w:div w:id="1193298875">
          <w:marLeft w:val="1166"/>
          <w:marRight w:val="0"/>
          <w:marTop w:val="0"/>
          <w:marBottom w:val="0"/>
          <w:divBdr>
            <w:top w:val="none" w:sz="0" w:space="0" w:color="auto"/>
            <w:left w:val="none" w:sz="0" w:space="0" w:color="auto"/>
            <w:bottom w:val="none" w:sz="0" w:space="0" w:color="auto"/>
            <w:right w:val="none" w:sz="0" w:space="0" w:color="auto"/>
          </w:divBdr>
        </w:div>
        <w:div w:id="1562666312">
          <w:marLeft w:val="547"/>
          <w:marRight w:val="0"/>
          <w:marTop w:val="0"/>
          <w:marBottom w:val="0"/>
          <w:divBdr>
            <w:top w:val="none" w:sz="0" w:space="0" w:color="auto"/>
            <w:left w:val="none" w:sz="0" w:space="0" w:color="auto"/>
            <w:bottom w:val="none" w:sz="0" w:space="0" w:color="auto"/>
            <w:right w:val="none" w:sz="0" w:space="0" w:color="auto"/>
          </w:divBdr>
        </w:div>
        <w:div w:id="1814177173">
          <w:marLeft w:val="1166"/>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com.ac-versailles.fr/spip.php?article916" TargetMode="External"/><Relationship Id="rId13" Type="http://schemas.openxmlformats.org/officeDocument/2006/relationships/hyperlink" Target="https://www.fun-mooc.fr"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crcom.ac-versailles.f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crcf.ac-grenoble.fr/index.php?tg=articles&amp;topics=91&amp;new=0&amp;newc=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reseaucerta.org/cours/analyse-&#233;conomique-juridique-et-manag&#233;riale-des-services-informatiques" TargetMode="Externa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D2DC94-B762-48D6-9B79-46120434D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1938</Words>
  <Characters>10662</Characters>
  <DocSecurity>0</DocSecurity>
  <Lines>88</Lines>
  <Paragraphs>25</Paragraphs>
  <ScaleCrop>false</ScaleCrop>
  <HeadingPairs>
    <vt:vector size="2" baseType="variant">
      <vt:variant>
        <vt:lpstr>Titre</vt:lpstr>
      </vt:variant>
      <vt:variant>
        <vt:i4>1</vt:i4>
      </vt:variant>
    </vt:vector>
  </HeadingPairs>
  <TitlesOfParts>
    <vt:vector size="1" baseType="lpstr">
      <vt:lpstr/>
    </vt:vector>
  </TitlesOfParts>
  <LinksUpToDate>false</LinksUpToDate>
  <CharactersWithSpaces>12575</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2018-03-16T13:53:00Z</dcterms:created>
  <dcterms:modified xsi:type="dcterms:W3CDTF">2018-03-16T13:53:00Z</dcterms:modified>
</cp:coreProperties>
</file>