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</w:tblGrid>
      <w:tr w:rsidR="000726A6" w:rsidRPr="000726A6" w:rsidTr="000726A6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</w:tblGrid>
            <w:tr w:rsidR="000726A6" w:rsidRPr="000726A6">
              <w:tc>
                <w:tcPr>
                  <w:tcW w:w="0" w:type="auto"/>
                  <w:noWrap/>
                  <w:vAlign w:val="center"/>
                  <w:hideMark/>
                </w:tcPr>
                <w:p w:rsidR="000726A6" w:rsidRPr="000726A6" w:rsidRDefault="000726A6" w:rsidP="000726A6">
                  <w:pPr>
                    <w:spacing w:after="0" w:line="300" w:lineRule="atLeast"/>
                    <w:textAlignment w:val="top"/>
                    <w:rPr>
                      <w:rFonts w:ascii="Roboto" w:eastAsia="Times New Roman" w:hAnsi="Roboto" w:cs="Times New Roman"/>
                      <w:sz w:val="24"/>
                      <w:szCs w:val="24"/>
                      <w:lang w:eastAsia="fr-FR"/>
                    </w:rPr>
                  </w:pPr>
                  <w:r w:rsidRPr="000726A6">
                    <w:rPr>
                      <w:rFonts w:ascii="Roboto" w:eastAsia="Times New Roman" w:hAnsi="Roboto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 wp14:anchorId="404749E1" wp14:editId="49D005E7">
                        <wp:extent cx="9525" cy="9525"/>
                        <wp:effectExtent l="0" t="0" r="0" b="0"/>
                        <wp:docPr id="1" name="Image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726A6" w:rsidRPr="000726A6" w:rsidRDefault="000726A6" w:rsidP="000726A6">
            <w:pPr>
              <w:spacing w:after="0" w:line="240" w:lineRule="auto"/>
              <w:rPr>
                <w:rFonts w:ascii="Roboto" w:eastAsia="Times New Roman" w:hAnsi="Roboto" w:cs="Times New Roman"/>
                <w:spacing w:val="3"/>
                <w:sz w:val="24"/>
                <w:szCs w:val="24"/>
                <w:lang w:eastAsia="fr-FR"/>
              </w:rPr>
            </w:pPr>
          </w:p>
        </w:tc>
      </w:tr>
    </w:tbl>
    <w:p w:rsidR="000726A6" w:rsidRPr="009F4C8F" w:rsidRDefault="000726A6" w:rsidP="000726A6">
      <w:pPr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24"/>
          <w:u w:val="single"/>
          <w:lang w:eastAsia="fr-FR"/>
        </w:rPr>
      </w:pPr>
      <w:r w:rsidRPr="009F4C8F">
        <w:rPr>
          <w:rFonts w:ascii="Arial" w:eastAsia="Times New Roman" w:hAnsi="Arial" w:cs="Arial"/>
          <w:b/>
          <w:color w:val="222222"/>
          <w:sz w:val="36"/>
          <w:szCs w:val="24"/>
          <w:u w:val="single"/>
          <w:lang w:eastAsia="fr-FR"/>
        </w:rPr>
        <w:t>Lexique Marketing digital (prise de notes)</w:t>
      </w:r>
    </w:p>
    <w:p w:rsidR="000726A6" w:rsidRDefault="000726A6" w:rsidP="000726A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0726A6" w:rsidRDefault="000726A6" w:rsidP="000726A6">
      <w:pPr>
        <w:pStyle w:val="Paragraphedeliste"/>
        <w:numPr>
          <w:ilvl w:val="0"/>
          <w:numId w:val="3"/>
        </w:numPr>
        <w:spacing w:after="0" w:line="240" w:lineRule="auto"/>
        <w:ind w:hanging="644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Espm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Wallet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payer directement via les mobiles </w:t>
      </w:r>
    </w:p>
    <w:p w:rsidR="000726A6" w:rsidRPr="000726A6" w:rsidRDefault="000726A6" w:rsidP="000726A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E6C51" w:rsidRPr="006E6C51" w:rsidRDefault="000726A6" w:rsidP="000726A6">
      <w:pPr>
        <w:pStyle w:val="Paragraphedeliste"/>
        <w:numPr>
          <w:ilvl w:val="0"/>
          <w:numId w:val="3"/>
        </w:numPr>
        <w:spacing w:after="0" w:line="240" w:lineRule="auto"/>
        <w:ind w:left="142" w:firstLine="0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Opt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in :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'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opt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-in, c'est obtenir l'accord du destinataire de la publicité : s'il n'a pas dit "oui", c'est "non".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• Avant d'envoyer de la publicité électronique par mail, SMS, MMS ou fax, il faut obtenir l'accord du destinataire </w:t>
      </w:r>
      <w:proofErr w:type="gram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;</w:t>
      </w:r>
      <w:proofErr w:type="gram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• Cet accord s'obtient le plus souvent par une mention comme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celle ci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 "Si vous souhaitez recevoir des propositions commerciales de nos partenaires par voie électronique, merci de cocher cette case" ;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• Ne pas respecter cette règle constitue infraction qui peut être punie d'une amende de 750 euros par message publicitaire.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="00D97F2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proposer un </w:t>
      </w:r>
      <w:r w:rsidR="00D97F20" w:rsidRPr="00D97F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formulaire double </w:t>
      </w:r>
      <w:proofErr w:type="spellStart"/>
      <w:r w:rsidR="00D97F20" w:rsidRPr="00D97F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opt</w:t>
      </w:r>
      <w:proofErr w:type="spellEnd"/>
      <w:r w:rsidR="00D97F20" w:rsidRPr="00D97F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-in</w:t>
      </w:r>
      <w:r w:rsidR="00D97F2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sur le </w:t>
      </w:r>
      <w:proofErr w:type="spellStart"/>
      <w:r w:rsidR="00D97F20" w:rsidRPr="00D97F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footer</w:t>
      </w:r>
      <w:proofErr w:type="spellEnd"/>
      <w:r w:rsidR="00D97F2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du site (bulletin d’adhésion et d’inscription du client sur le site</w:t>
      </w:r>
      <w:proofErr w:type="gramStart"/>
      <w:r w:rsidR="00D97F2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  <w:proofErr w:type="gram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Opt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out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opt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-out, c'est lorsque le destinataire de la publicité ne s'est pas opposé : s'il n'a pas dit "non", c'est "oui".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• C'est donc l'inverse : à défaut de s'opposer à recevoir des publicités, la personne pourra en recevoir ;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• Cette fois, la mention prend le plus souvent cette forme : "Si vous ne souhaitez pas recevoir des propositions commerciales de nos partenaires par courrier postal, merci de cocher cette case" ;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• Cela concerne notamment la publicité adressée par voie postale ou par téléphone, ainsi que la publicité par voie électronique pour des produits similaires ou analogues à ceux déjà acquis par un client auprès du professionnel qui le démarche.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Tendance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la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gamification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aupres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des clients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faire consommer plus en organisant des jeux via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reseaux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sociaux / gagner un caddie par ex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en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retail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payement in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app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= sans passer par la caisse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Taux de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churn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sur appli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=taux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d </w:t>
      </w:r>
      <w:proofErr w:type="gram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attrition</w:t>
      </w:r>
      <w:proofErr w:type="spellEnd"/>
      <w:proofErr w:type="gram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/ clients perdus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Taux de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retention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Le taux de rétention client exprime la proportion de clients qui reste clients d'une période à l'autre. ... Le taux de rétention est un indicateur de la fidélité et permet également de mesurer la rentabilité des actions de recrutement clients sur le moyen et long terme.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Campagne d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adword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Inbound</w:t>
      </w:r>
      <w:proofErr w:type="spellEnd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proofErr w:type="spellStart"/>
      <w:r w:rsidRPr="000726A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mktg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attirer les visiteurs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ds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un tunnel de conversion par le site en privilégiant le contenu / le </w:t>
      </w:r>
      <w:proofErr w:type="spellStart"/>
      <w:r w:rsidRPr="00D20364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>copywriting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Comment ? En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améliorant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le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référencement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naturel-organique /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seo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mettre les mots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clés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ds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les titres ou aux bons endroits sur le site pour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être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repéré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+Par les newsletters et les</w:t>
      </w:r>
      <w:r w:rsidR="00D2036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livres blancs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lastRenderedPageBreak/>
        <w:t xml:space="preserve">Puis Pousser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l’achat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par des actions de </w:t>
      </w:r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marketing automation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/mails personnalises ou par le </w:t>
      </w:r>
      <w:proofErr w:type="spellStart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retargeting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qui st des pubs </w:t>
      </w:r>
      <w:r w:rsidR="004F725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personnalisé</w:t>
      </w:r>
      <w:r w:rsidR="004F725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</w:t>
      </w:r>
      <w:r w:rsidR="004F725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sur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fcbk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par ex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après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la visite sans achat sur un site les jours suivants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Marketing automation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logiciel de </w:t>
      </w:r>
      <w:proofErr w:type="spellStart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trackage</w:t>
      </w:r>
      <w:proofErr w:type="spellEnd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de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ts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les mouvements commerciaux, du profil et comportements des clients + lancer des campagnes automatises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 emails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Permet un </w:t>
      </w:r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lead </w:t>
      </w:r>
      <w:proofErr w:type="spellStart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scoring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ds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la base de contacts pour savoir qui st les meilleurs </w:t>
      </w:r>
      <w:r w:rsidR="00D20364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profils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et prioriser les campagnes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proofErr w:type="spellStart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Cpc</w:t>
      </w:r>
      <w:proofErr w:type="spellEnd"/>
      <w:r w:rsidRPr="00D203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: cout par click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Transformer un visiteur sur un site en client : on parle de </w:t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conversion </w:t>
      </w:r>
      <w:r w:rsidRP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Workflow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campagnes d emailings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généré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automatiquement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Le client actuel est un consommateur </w:t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top-down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ou augment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é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: traduire inform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é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et </w:t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on line forum permanent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>Il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faut en IM inciter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clients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aller vers le call to action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cad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remplir des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formulaires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en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ligne pour recueillir leurs datas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Pour les inciter il faut leur promettez un contenu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personnalis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é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répondant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leur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problématique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une info, un livre blanc, un </w:t>
      </w:r>
      <w:proofErr w:type="spellStart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webinar</w:t>
      </w:r>
      <w:proofErr w:type="spellEnd"/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.... 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il faut aussi inciter les clients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renouveler leurs achats (</w:t>
      </w:r>
      <w:proofErr w:type="spellStart"/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resell</w:t>
      </w:r>
      <w:proofErr w:type="spellEnd"/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)</w:t>
      </w:r>
      <w:r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ou commander des produits </w:t>
      </w:r>
      <w:r w:rsidR="00E66615"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complémentaires</w:t>
      </w:r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</w:t>
      </w:r>
      <w:proofErr w:type="spellStart"/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upsell</w:t>
      </w:r>
      <w:proofErr w:type="spellEnd"/>
      <w:r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)</w:t>
      </w:r>
    </w:p>
    <w:p w:rsidR="000726A6" w:rsidRPr="000726A6" w:rsidRDefault="006E6C51" w:rsidP="000726A6">
      <w:pPr>
        <w:pStyle w:val="Paragraphedeliste"/>
        <w:numPr>
          <w:ilvl w:val="0"/>
          <w:numId w:val="3"/>
        </w:numPr>
        <w:spacing w:after="0" w:line="240" w:lineRule="auto"/>
        <w:ind w:left="142" w:firstLine="0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Pensez aussi aux déclencheurs émotionnels (la pénurie (peur de regretter), la confiance, la preuve par le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temoin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r w:rsidR="000726A6" w:rsidRPr="00E66615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  <w:t xml:space="preserve">Importance du </w:t>
      </w:r>
      <w:proofErr w:type="spellStart"/>
      <w:r w:rsidR="000726A6"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peer</w:t>
      </w:r>
      <w:proofErr w:type="spellEnd"/>
      <w:r w:rsidR="000726A6"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to </w:t>
      </w:r>
      <w:proofErr w:type="spellStart"/>
      <w:r w:rsidR="000726A6" w:rsidRPr="00E6661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peer</w:t>
      </w:r>
      <w:proofErr w:type="spellEnd"/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le bouche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</w:t>
      </w:r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gramStart"/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oreille ,</w:t>
      </w:r>
      <w:proofErr w:type="gramEnd"/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discours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d’un</w:t>
      </w:r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tiers sur les </w:t>
      </w:r>
      <w:r w:rsidR="00E66615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réseaux</w:t>
      </w:r>
      <w:r w:rsidR="000726A6" w:rsidRPr="000726A6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sociaux</w:t>
      </w:r>
    </w:p>
    <w:p w:rsidR="001B40B9" w:rsidRDefault="001B40B9"/>
    <w:p w:rsid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38E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Une « </w:t>
      </w: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Customer </w:t>
      </w:r>
      <w:proofErr w:type="spellStart"/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journey</w:t>
      </w:r>
      <w:proofErr w:type="spellEnd"/>
      <w:r w:rsidRPr="003E38E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» : expérience d’achat en ligne</w:t>
      </w:r>
    </w:p>
    <w:p w:rsidR="003E38EF" w:rsidRP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</w:pPr>
      <w:r w:rsidRPr="00BB1C7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Machine </w:t>
      </w:r>
      <w:proofErr w:type="gramStart"/>
      <w:r w:rsidRPr="00BB1C7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learning</w:t>
      </w:r>
      <w:r w:rsidRPr="003E38EF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 :</w:t>
      </w:r>
      <w:proofErr w:type="gramEnd"/>
      <w:r w:rsidRPr="003E38EF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data </w:t>
      </w:r>
      <w:proofErr w:type="spellStart"/>
      <w:r w:rsidRPr="003E38EF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en</w:t>
      </w:r>
      <w:proofErr w:type="spellEnd"/>
      <w:r w:rsidRPr="003E38EF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temps reel </w:t>
      </w:r>
    </w:p>
    <w:p w:rsid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</w:pPr>
    </w:p>
    <w:p w:rsidR="003E38EF" w:rsidRPr="003E38EF" w:rsidRDefault="003E38EF">
      <w:pP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Marketi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ng</w:t>
      </w: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prédictif </w:t>
      </w:r>
    </w:p>
    <w:p w:rsid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Site responsive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</w:t>
      </w:r>
      <w:r w:rsidRPr="003E38E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qui s’adapte à tous supports numérique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</w:t>
      </w:r>
      <w:r w:rsidRPr="003E38E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t digital </w:t>
      </w:r>
      <w:proofErr w:type="spellStart"/>
      <w:r w:rsid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qqs</w:t>
      </w:r>
      <w:proofErr w:type="spellEnd"/>
      <w:r w:rsid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la taille de l’écran </w:t>
      </w:r>
    </w:p>
    <w:p w:rsid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Call to action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promesse faite au client en échange de son adresse mai </w:t>
      </w:r>
    </w:p>
    <w:p w:rsidR="003E38EF" w:rsidRDefault="003E38E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38E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Créer une landing page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 pour rassurer le client et le rassurer sur les possibilités de désabonnement </w:t>
      </w:r>
    </w:p>
    <w:p w:rsidR="006E6C51" w:rsidRDefault="006E6C51">
      <w:pP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Les </w:t>
      </w:r>
      <w:proofErr w:type="spellStart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chatbot</w:t>
      </w:r>
      <w:proofErr w:type="spellEnd"/>
    </w:p>
    <w:p w:rsidR="00A57E37" w:rsidRPr="00A57E37" w:rsidRDefault="00A57E37">
      <w:pP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</w:pPr>
      <w:proofErr w:type="gramStart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ROPO :</w:t>
      </w:r>
      <w:proofErr w:type="gramEnd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 research on ne, </w:t>
      </w:r>
      <w:proofErr w:type="spellStart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prupose</w:t>
      </w:r>
      <w:proofErr w:type="spellEnd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 off line (</w:t>
      </w:r>
      <w:proofErr w:type="spellStart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en</w:t>
      </w:r>
      <w:proofErr w:type="spellEnd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 </w:t>
      </w:r>
      <w:proofErr w:type="spellStart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magasin</w:t>
      </w:r>
      <w:proofErr w:type="spellEnd"/>
      <w:r w:rsidRPr="00A57E3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)</w:t>
      </w:r>
    </w:p>
    <w:p w:rsidR="006E6C51" w:rsidRPr="007401AF" w:rsidRDefault="007401AF">
      <w:pP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lastRenderedPageBreak/>
        <w:t xml:space="preserve">Campagne de </w:t>
      </w:r>
      <w:proofErr w:type="spellStart"/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linking</w:t>
      </w:r>
      <w:proofErr w:type="spellEnd"/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</w:p>
    <w:p w:rsidR="006E6C51" w:rsidRDefault="007401A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SVI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server voca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 interactif pour aiguiller les appels entrants </w:t>
      </w:r>
    </w:p>
    <w:p w:rsidR="00202521" w:rsidRDefault="007401A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Social </w:t>
      </w:r>
      <w:proofErr w:type="spellStart"/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selling</w:t>
      </w:r>
      <w:proofErr w:type="spellEnd"/>
      <w:r w:rsidRPr="007401AF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en B to  B : 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grâ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e à la fonction avancée de LNK pour booster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es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ventes démarche qui consiste à utiliser les </w:t>
      </w:r>
      <w:hyperlink r:id="rId6" w:tooltip="Réseaux sociaux" w:history="1"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réseaux sociaux</w:t>
        </w:r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dans le processus de vente. Ce type d'approche consiste à mettre en œuvre des outils comme </w:t>
      </w:r>
      <w:hyperlink r:id="rId7" w:tooltip="LinkedIn" w:history="1"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LinkedIn</w:t>
        </w:r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, </w:t>
      </w:r>
      <w:hyperlink r:id="rId8" w:tooltip="Twitter" w:history="1"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Twitter</w:t>
        </w:r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, </w:t>
      </w:r>
      <w:hyperlink r:id="rId9" w:tooltip="SlideShare" w:history="1">
        <w:proofErr w:type="spellStart"/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SlideShare</w:t>
        </w:r>
        <w:proofErr w:type="spellEnd"/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ou </w:t>
      </w:r>
      <w:hyperlink r:id="rId10" w:tooltip="Facebook" w:history="1"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Facebook</w:t>
        </w:r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, ainsi que des techniques d'</w:t>
      </w:r>
      <w:proofErr w:type="spellStart"/>
      <w:r w:rsidRPr="007401AF">
        <w:rPr>
          <w:rFonts w:eastAsia="Times New Roman"/>
          <w:color w:val="222222"/>
          <w:sz w:val="24"/>
          <w:szCs w:val="24"/>
          <w:lang w:eastAsia="fr-FR"/>
        </w:rPr>
        <w:t>inbound</w:t>
      </w:r>
      <w:proofErr w:type="spellEnd"/>
      <w:r w:rsidRPr="007401AF">
        <w:rPr>
          <w:rFonts w:eastAsia="Times New Roman"/>
          <w:color w:val="222222"/>
          <w:sz w:val="24"/>
          <w:szCs w:val="24"/>
          <w:lang w:eastAsia="fr-FR"/>
        </w:rPr>
        <w:t xml:space="preserve"> marketing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afin de générer des </w:t>
      </w:r>
      <w:r w:rsidRPr="007401AF">
        <w:rPr>
          <w:rFonts w:eastAsia="Times New Roman"/>
          <w:color w:val="222222"/>
          <w:sz w:val="24"/>
          <w:szCs w:val="24"/>
          <w:lang w:eastAsia="fr-FR"/>
        </w:rPr>
        <w:t>leads</w:t>
      </w:r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(ou prospects), principalement dans des processus de vente </w:t>
      </w:r>
      <w:hyperlink r:id="rId11" w:tooltip="Business to business (Internet)" w:history="1">
        <w:r w:rsidRPr="007401AF">
          <w:rPr>
            <w:rFonts w:eastAsia="Times New Roman"/>
            <w:color w:val="222222"/>
            <w:sz w:val="24"/>
            <w:szCs w:val="24"/>
            <w:lang w:eastAsia="fr-FR"/>
          </w:rPr>
          <w:t>B2B</w:t>
        </w:r>
      </w:hyperlink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. En effet les modèles de vente traditionnels comme l'email ou le téléphone (cold </w:t>
      </w:r>
      <w:proofErr w:type="spellStart"/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calling</w:t>
      </w:r>
      <w:proofErr w:type="spellEnd"/>
      <w:r w:rsidRPr="007401AF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 sont de moins en moins efficaces : ainsi il faut par exemple 22 appels pour qu'un commercial arrive à une discussion qualifiée</w:t>
      </w:r>
    </w:p>
    <w:p w:rsidR="007401AF" w:rsidRDefault="007401AF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202521" w:rsidRDefault="00202521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Le data </w:t>
      </w:r>
      <w:proofErr w:type="spellStart"/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mining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technique d’analyse des datas des données permettant de les transformer en information utilise a l’e/se</w:t>
      </w:r>
    </w:p>
    <w:p w:rsidR="00202521" w:rsidRPr="00202521" w:rsidRDefault="00202521">
      <w:pP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</w:pPr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Pop up </w:t>
      </w:r>
      <w:proofErr w:type="gramStart"/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store</w:t>
      </w:r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 :</w:t>
      </w:r>
      <w:proofErr w:type="gramEnd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</w:t>
      </w:r>
      <w:proofErr w:type="spellStart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magasin</w:t>
      </w:r>
      <w:proofErr w:type="spellEnd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</w:t>
      </w:r>
      <w:proofErr w:type="spellStart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ephe</w:t>
      </w:r>
      <w:bookmarkStart w:id="0" w:name="_GoBack"/>
      <w:bookmarkEnd w:id="0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>mere</w:t>
      </w:r>
      <w:proofErr w:type="spellEnd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</w:t>
      </w:r>
    </w:p>
    <w:p w:rsidR="00202521" w:rsidRDefault="00202521">
      <w:pP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</w:pPr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Salon itinerant</w:t>
      </w:r>
      <w:r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: roadshow </w:t>
      </w:r>
    </w:p>
    <w:p w:rsidR="00202521" w:rsidRPr="00202521" w:rsidRDefault="00202521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 xml:space="preserve">B to </w:t>
      </w:r>
      <w:proofErr w:type="gramStart"/>
      <w:r w:rsidRPr="0020252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val="en-GB" w:eastAsia="fr-FR"/>
        </w:rPr>
        <w:t>G</w:t>
      </w:r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:</w:t>
      </w:r>
      <w:proofErr w:type="gramEnd"/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business to</w:t>
      </w:r>
      <w:r w:rsidRPr="00202521">
        <w:rPr>
          <w:rFonts w:ascii="inherit" w:hAnsi="inherit"/>
          <w:color w:val="222222"/>
          <w:sz w:val="26"/>
          <w:szCs w:val="26"/>
          <w:shd w:val="clear" w:color="auto" w:fill="FFFFFF"/>
          <w:lang w:val="en-GB"/>
        </w:rPr>
        <w:t xml:space="preserve"> </w:t>
      </w:r>
      <w:proofErr w:type="spellStart"/>
      <w:r w:rsidRPr="00202521">
        <w:rPr>
          <w:rFonts w:ascii="inherit" w:hAnsi="inherit"/>
          <w:color w:val="222222"/>
          <w:sz w:val="26"/>
          <w:szCs w:val="26"/>
          <w:shd w:val="clear" w:color="auto" w:fill="FFFFFF"/>
          <w:lang w:val="en-GB"/>
        </w:rPr>
        <w:t>pouvoirs</w:t>
      </w:r>
      <w:proofErr w:type="spellEnd"/>
      <w:r w:rsidRPr="00202521">
        <w:rPr>
          <w:rFonts w:ascii="inherit" w:hAnsi="inherit"/>
          <w:color w:val="222222"/>
          <w:sz w:val="26"/>
          <w:szCs w:val="26"/>
          <w:shd w:val="clear" w:color="auto" w:fill="FFFFFF"/>
          <w:lang w:val="en-GB"/>
        </w:rPr>
        <w:t xml:space="preserve"> publics – « G » pour Government (</w:t>
      </w:r>
      <w:proofErr w:type="spellStart"/>
      <w:r w:rsidRPr="00202521">
        <w:rPr>
          <w:rFonts w:ascii="inherit" w:hAnsi="inherit"/>
          <w:color w:val="222222"/>
          <w:sz w:val="26"/>
          <w:szCs w:val="26"/>
          <w:shd w:val="clear" w:color="auto" w:fill="FFFFFF"/>
          <w:lang w:val="en-GB"/>
        </w:rPr>
        <w:t>gouvernement</w:t>
      </w:r>
      <w:proofErr w:type="spellEnd"/>
      <w:r w:rsidRPr="00202521">
        <w:rPr>
          <w:rFonts w:ascii="inherit" w:hAnsi="inherit"/>
          <w:color w:val="222222"/>
          <w:sz w:val="26"/>
          <w:szCs w:val="26"/>
          <w:shd w:val="clear" w:color="auto" w:fill="FFFFFF"/>
          <w:lang w:val="en-GB"/>
        </w:rPr>
        <w:t>).</w:t>
      </w:r>
      <w:r w:rsidRPr="00202521">
        <w:rPr>
          <w:rFonts w:ascii="Arial" w:eastAsia="Times New Roman" w:hAnsi="Arial" w:cs="Arial"/>
          <w:color w:val="222222"/>
          <w:sz w:val="24"/>
          <w:szCs w:val="24"/>
          <w:lang w:val="en-GB" w:eastAsia="fr-FR"/>
        </w:rPr>
        <w:t xml:space="preserve">   </w:t>
      </w:r>
      <w:proofErr w:type="gramStart"/>
      <w:r w:rsidRPr="0020252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représentant</w:t>
      </w:r>
      <w:proofErr w:type="gramEnd"/>
      <w:r w:rsidRPr="0020252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 l’ETA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</w:t>
      </w:r>
      <w:r w:rsidRPr="0020252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et des administrations </w:t>
      </w:r>
    </w:p>
    <w:p w:rsidR="00202521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Pure </w:t>
      </w:r>
      <w:proofErr w:type="spellStart"/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player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commerces qui ne vendent qu’en ligne </w:t>
      </w:r>
    </w:p>
    <w:p w:rsidR="00202521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Cross canal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interaction entre le site internet et les points de vente physiques /favoriser la complémentarité des canaux </w:t>
      </w:r>
    </w:p>
    <w:p w:rsidR="005E4BA7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On parle de </w:t>
      </w:r>
      <w:proofErr w:type="spellStart"/>
      <w:r w:rsidRPr="005E4BA7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>physital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contraction entre physique et digital </w:t>
      </w:r>
    </w:p>
    <w:p w:rsidR="005E4BA7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Différentes formes de magasins hybrides : </w:t>
      </w:r>
    </w:p>
    <w:p w:rsidR="005E4BA7" w:rsidRDefault="005E4BA7" w:rsidP="005E4BA7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proofErr w:type="spellStart"/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Pop up</w:t>
      </w:r>
      <w:proofErr w:type="spellEnd"/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store conne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</w:t>
      </w:r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tés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showroom avec produits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commandables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qu’en ligne </w:t>
      </w:r>
    </w:p>
    <w:p w:rsidR="005E4BA7" w:rsidRPr="005E4BA7" w:rsidRDefault="005E4BA7" w:rsidP="005E4BA7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Click and </w:t>
      </w:r>
      <w:proofErr w:type="spellStart"/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mortar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: achat en ligne, livraison en magasin </w:t>
      </w:r>
    </w:p>
    <w:p w:rsidR="005E4BA7" w:rsidRPr="00202521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202521" w:rsidRDefault="005E4BA7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Pour analyser les performances d’un distributeur, 3 indicateurs : </w:t>
      </w:r>
    </w:p>
    <w:p w:rsidR="005E4BA7" w:rsidRDefault="005E4BA7" w:rsidP="005E4BA7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E4BA7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DN : distribution numérique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–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nbre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 pts de vente distribuant une marque /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enble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des pts de vente susceptibles de le vendre </w:t>
      </w:r>
    </w:p>
    <w:p w:rsidR="005E4BA7" w:rsidRPr="00A13593" w:rsidRDefault="005E4BA7" w:rsidP="005E4BA7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DV </w:t>
      </w:r>
      <w:r w:rsidRPr="005E4BA7">
        <w:rPr>
          <w:rFonts w:ascii="Arial" w:eastAsia="Times New Roman" w:hAnsi="Arial" w:cs="Arial"/>
          <w:sz w:val="24"/>
          <w:szCs w:val="24"/>
          <w:lang w:eastAsia="fr-FR"/>
        </w:rPr>
        <w:t>: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distribution de valeur – CA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realisé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par </w:t>
      </w:r>
      <w:r w:rsidR="00A13593">
        <w:rPr>
          <w:rFonts w:ascii="Arial" w:eastAsia="Times New Roman" w:hAnsi="Arial" w:cs="Arial"/>
          <w:sz w:val="24"/>
          <w:szCs w:val="24"/>
          <w:lang w:eastAsia="fr-FR"/>
        </w:rPr>
        <w:t xml:space="preserve">tous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les points de vente qui vendent la marque </w:t>
      </w:r>
    </w:p>
    <w:p w:rsidR="00A13593" w:rsidRPr="00A13593" w:rsidRDefault="00A13593" w:rsidP="005E4BA7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Taux de saturation </w:t>
      </w:r>
      <w:r w:rsidRPr="00A13593">
        <w:rPr>
          <w:rFonts w:ascii="Arial" w:eastAsia="Times New Roman" w:hAnsi="Arial" w:cs="Arial"/>
          <w:sz w:val="24"/>
          <w:szCs w:val="24"/>
          <w:lang w:eastAsia="fr-FR"/>
        </w:rPr>
        <w:t>: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potentiel de </w:t>
      </w: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devt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de la marque </w:t>
      </w:r>
    </w:p>
    <w:p w:rsidR="00A13593" w:rsidRPr="00A13593" w:rsidRDefault="00A13593" w:rsidP="00A13593">
      <w:pPr>
        <w:ind w:left="360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A13593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Si 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 marque a plusieurs produits mais n’en expose qu’une partie, elle a un taux de saturation bas </w:t>
      </w:r>
    </w:p>
    <w:sectPr w:rsidR="00A13593" w:rsidRPr="00A1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15713"/>
    <w:multiLevelType w:val="hybridMultilevel"/>
    <w:tmpl w:val="332EB96A"/>
    <w:lvl w:ilvl="0" w:tplc="D16CB6AA">
      <w:start w:val="1"/>
      <w:numFmt w:val="bullet"/>
      <w:lvlText w:val="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C1A23"/>
    <w:multiLevelType w:val="hybridMultilevel"/>
    <w:tmpl w:val="BF8020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B6680"/>
    <w:multiLevelType w:val="hybridMultilevel"/>
    <w:tmpl w:val="9200A7C2"/>
    <w:lvl w:ilvl="0" w:tplc="AF76E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B5B9D"/>
    <w:multiLevelType w:val="hybridMultilevel"/>
    <w:tmpl w:val="C4A6B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A6"/>
    <w:rsid w:val="000726A6"/>
    <w:rsid w:val="001B40B9"/>
    <w:rsid w:val="00202521"/>
    <w:rsid w:val="0032785B"/>
    <w:rsid w:val="003830D8"/>
    <w:rsid w:val="003E38EF"/>
    <w:rsid w:val="00407257"/>
    <w:rsid w:val="004F7255"/>
    <w:rsid w:val="005E4BA7"/>
    <w:rsid w:val="006E6C51"/>
    <w:rsid w:val="007401AF"/>
    <w:rsid w:val="009F4C8F"/>
    <w:rsid w:val="00A13593"/>
    <w:rsid w:val="00A57E37"/>
    <w:rsid w:val="00BB1C72"/>
    <w:rsid w:val="00D20364"/>
    <w:rsid w:val="00D97F20"/>
    <w:rsid w:val="00DE5455"/>
    <w:rsid w:val="00E6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0FD6-A3C5-4EAB-AC7B-D7852ABA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26A6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401AF"/>
    <w:rPr>
      <w:color w:val="0000FF"/>
      <w:u w:val="single"/>
    </w:rPr>
  </w:style>
  <w:style w:type="character" w:customStyle="1" w:styleId="lang-en">
    <w:name w:val="lang-en"/>
    <w:basedOn w:val="Policepardfaut"/>
    <w:rsid w:val="00740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787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Twitt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Linked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R%C3%A9seaux_sociaux" TargetMode="External"/><Relationship Id="rId11" Type="http://schemas.openxmlformats.org/officeDocument/2006/relationships/hyperlink" Target="https://fr.wikipedia.org/wiki/Business_to_business_(Internet)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fr.wikipedia.org/wiki/Face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SlideSha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2020-03-23T08:18:00Z</dcterms:created>
  <dcterms:modified xsi:type="dcterms:W3CDTF">2020-05-29T05:22:00Z</dcterms:modified>
</cp:coreProperties>
</file>