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3D4547F0" w:rsidR="006E7F98" w:rsidRPr="00C1513C" w:rsidRDefault="001B2266" w:rsidP="00241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 w:right="-142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C-</w:t>
      </w:r>
      <w:r w:rsidR="00357FB1">
        <w:rPr>
          <w:b/>
          <w:bCs/>
          <w:sz w:val="32"/>
          <w:szCs w:val="32"/>
        </w:rPr>
        <w:t>5</w:t>
      </w:r>
      <w:r w:rsidR="00F46A7D">
        <w:rPr>
          <w:b/>
          <w:bCs/>
          <w:sz w:val="32"/>
          <w:szCs w:val="32"/>
        </w:rPr>
        <w:t>) Chaudronnerie fine inoxydable</w:t>
      </w:r>
    </w:p>
    <w:p w14:paraId="1A5CBEE5" w14:textId="5DFAAA0D" w:rsidR="00A74773" w:rsidRPr="00E37FC5" w:rsidRDefault="002B6FCC" w:rsidP="000A1E4F">
      <w:pPr>
        <w:ind w:left="-284" w:right="-284"/>
        <w:jc w:val="both"/>
        <w:rPr>
          <w:rFonts w:ascii="Arial" w:eastAsia="Times New Roman" w:hAnsi="Arial" w:cs="Arial"/>
          <w:color w:val="333333"/>
          <w:lang w:eastAsia="fr-FR"/>
        </w:rPr>
      </w:pPr>
      <w:r>
        <w:rPr>
          <w:rFonts w:ascii="Arial" w:hAnsi="Arial" w:cs="Arial"/>
          <w:color w:val="000000" w:themeColor="text1"/>
        </w:rPr>
        <w:t>Fabricant de tanks à lait depuis sa création (1963), le savoir-faire de l</w:t>
      </w:r>
      <w:r w:rsidR="00307BF0" w:rsidRPr="00E37FC5">
        <w:rPr>
          <w:rFonts w:ascii="Arial" w:hAnsi="Arial" w:cs="Arial"/>
          <w:color w:val="000000" w:themeColor="text1"/>
        </w:rPr>
        <w:t xml:space="preserve">a société Serap industrie </w:t>
      </w:r>
      <w:r w:rsidR="00082F47" w:rsidRPr="00E37FC5">
        <w:rPr>
          <w:rFonts w:ascii="Arial" w:hAnsi="Arial" w:cs="Arial"/>
          <w:color w:val="000000" w:themeColor="text1"/>
        </w:rPr>
        <w:t>est basé sur la maitrise de la chaudronnerie fine inox alimentaire.</w:t>
      </w:r>
      <w:r w:rsidR="00307BF0" w:rsidRPr="00E37FC5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Cela</w:t>
      </w:r>
      <w:r w:rsidR="00082F47" w:rsidRPr="00E37FC5">
        <w:rPr>
          <w:rFonts w:ascii="Arial" w:hAnsi="Arial" w:cs="Arial"/>
          <w:color w:val="000000" w:themeColor="text1"/>
        </w:rPr>
        <w:t xml:space="preserve"> </w:t>
      </w:r>
      <w:r w:rsidR="00082F47" w:rsidRPr="00E37FC5">
        <w:rPr>
          <w:rFonts w:ascii="Arial" w:eastAsia="Times New Roman" w:hAnsi="Arial" w:cs="Arial"/>
          <w:color w:val="333333"/>
          <w:lang w:eastAsia="fr-FR"/>
        </w:rPr>
        <w:t>regroupe les activités de la mise en œuvre des métaux : Le débit, la découpe, le poinçonnage, le formage (roulage, pliage</w:t>
      </w:r>
      <w:r w:rsidR="002D4D7C">
        <w:rPr>
          <w:rFonts w:ascii="Arial" w:eastAsia="Times New Roman" w:hAnsi="Arial" w:cs="Arial"/>
          <w:color w:val="333333"/>
          <w:lang w:eastAsia="fr-FR"/>
        </w:rPr>
        <w:t>, raboutage</w:t>
      </w:r>
      <w:r w:rsidR="00082F47" w:rsidRPr="00E37FC5">
        <w:rPr>
          <w:rFonts w:ascii="Arial" w:eastAsia="Times New Roman" w:hAnsi="Arial" w:cs="Arial"/>
          <w:color w:val="333333"/>
          <w:lang w:eastAsia="fr-FR"/>
        </w:rPr>
        <w:t xml:space="preserve">) et l’assemblage </w:t>
      </w:r>
      <w:r w:rsidR="00601DE2">
        <w:rPr>
          <w:rFonts w:ascii="Arial" w:eastAsia="Times New Roman" w:hAnsi="Arial" w:cs="Arial"/>
          <w:color w:val="333333"/>
          <w:lang w:eastAsia="fr-FR"/>
        </w:rPr>
        <w:t xml:space="preserve">(soudage) </w:t>
      </w:r>
      <w:r w:rsidR="00082F47" w:rsidRPr="00E37FC5">
        <w:rPr>
          <w:rFonts w:ascii="Arial" w:eastAsia="Times New Roman" w:hAnsi="Arial" w:cs="Arial"/>
          <w:color w:val="333333"/>
          <w:lang w:eastAsia="fr-FR"/>
        </w:rPr>
        <w:t>de métaux en feuille (tôles), ou de profilés (tubes).</w:t>
      </w:r>
      <w:r w:rsidR="00E37FC5">
        <w:rPr>
          <w:rFonts w:ascii="Arial" w:eastAsia="Times New Roman" w:hAnsi="Arial" w:cs="Arial"/>
          <w:color w:val="333333"/>
          <w:lang w:eastAsia="fr-FR"/>
        </w:rPr>
        <w:t xml:space="preserve"> Même si l</w:t>
      </w:r>
      <w:r w:rsidR="00601DE2">
        <w:rPr>
          <w:rFonts w:ascii="Arial" w:eastAsia="Times New Roman" w:hAnsi="Arial" w:cs="Arial"/>
          <w:color w:val="333333"/>
          <w:lang w:eastAsia="fr-FR"/>
        </w:rPr>
        <w:t>e</w:t>
      </w:r>
      <w:r w:rsidR="00E37FC5">
        <w:rPr>
          <w:rFonts w:ascii="Arial" w:eastAsia="Times New Roman" w:hAnsi="Arial" w:cs="Arial"/>
          <w:color w:val="333333"/>
          <w:lang w:eastAsia="fr-FR"/>
        </w:rPr>
        <w:t xml:space="preserve"> numérique a pris </w:t>
      </w:r>
      <w:r>
        <w:rPr>
          <w:rFonts w:ascii="Arial" w:eastAsia="Times New Roman" w:hAnsi="Arial" w:cs="Arial"/>
          <w:color w:val="333333"/>
          <w:lang w:eastAsia="fr-FR"/>
        </w:rPr>
        <w:t>de l’</w:t>
      </w:r>
      <w:r w:rsidR="00E37FC5">
        <w:rPr>
          <w:rFonts w:ascii="Arial" w:eastAsia="Times New Roman" w:hAnsi="Arial" w:cs="Arial"/>
          <w:color w:val="333333"/>
          <w:lang w:eastAsia="fr-FR"/>
        </w:rPr>
        <w:t>ampleur au niveau du bureau d’étude</w:t>
      </w:r>
      <w:r>
        <w:rPr>
          <w:rFonts w:ascii="Arial" w:eastAsia="Times New Roman" w:hAnsi="Arial" w:cs="Arial"/>
          <w:color w:val="333333"/>
          <w:lang w:eastAsia="fr-FR"/>
        </w:rPr>
        <w:t>s</w:t>
      </w:r>
      <w:r w:rsidR="00601DE2">
        <w:rPr>
          <w:rFonts w:ascii="Arial" w:eastAsia="Times New Roman" w:hAnsi="Arial" w:cs="Arial"/>
          <w:color w:val="333333"/>
          <w:lang w:eastAsia="fr-FR"/>
        </w:rPr>
        <w:t xml:space="preserve"> et de la fabrication</w:t>
      </w:r>
      <w:r w:rsidR="00E37FC5">
        <w:rPr>
          <w:rFonts w:ascii="Arial" w:eastAsia="Times New Roman" w:hAnsi="Arial" w:cs="Arial"/>
          <w:color w:val="333333"/>
          <w:lang w:eastAsia="fr-FR"/>
        </w:rPr>
        <w:t xml:space="preserve">, les </w:t>
      </w:r>
      <w:r w:rsidR="00EC3CB6">
        <w:rPr>
          <w:rFonts w:ascii="Arial" w:eastAsia="Times New Roman" w:hAnsi="Arial" w:cs="Arial"/>
          <w:color w:val="333333"/>
          <w:lang w:eastAsia="fr-FR"/>
        </w:rPr>
        <w:t>techniciens doivent avoir des connaissances en traçage (développement de pièces) et RDM (résistance des matériaux).</w:t>
      </w:r>
    </w:p>
    <w:p w14:paraId="7A95C48D" w14:textId="5328D000" w:rsidR="001B2266" w:rsidRPr="00082F47" w:rsidRDefault="00ED7F09" w:rsidP="002D4D7C">
      <w:pPr>
        <w:ind w:left="-426" w:right="-567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</w:t>
      </w:r>
      <w:r w:rsidR="003D66D6" w:rsidRPr="003D66D6">
        <w:rPr>
          <w:rFonts w:ascii="Arial" w:hAnsi="Arial" w:cs="Arial"/>
          <w:noProof/>
          <w:color w:val="000000" w:themeColor="text1"/>
          <w:lang w:eastAsia="fr-FR"/>
        </w:rPr>
        <w:drawing>
          <wp:inline distT="0" distB="0" distL="0" distR="0" wp14:anchorId="0AD6E00C" wp14:editId="5FB58B98">
            <wp:extent cx="1582136" cy="1527724"/>
            <wp:effectExtent l="19050" t="19050" r="18415" b="15875"/>
            <wp:docPr id="4" name="Image 4" descr="Une image contenant plane, intérieur, plafond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Une image contenant plane, intérieur, plafond&#10;&#10;Description générée automatiquemen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06659" cy="155140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</w:rPr>
        <w:t xml:space="preserve">   </w:t>
      </w:r>
      <w:r w:rsidR="00B32C2C" w:rsidRPr="00B32C2C">
        <w:rPr>
          <w:rFonts w:ascii="Arial" w:hAnsi="Arial" w:cs="Arial"/>
          <w:noProof/>
          <w:color w:val="000000" w:themeColor="text1"/>
          <w:lang w:eastAsia="fr-FR"/>
        </w:rPr>
        <w:drawing>
          <wp:inline distT="0" distB="0" distL="0" distR="0" wp14:anchorId="5FC082DD" wp14:editId="231850BC">
            <wp:extent cx="2163170" cy="1310491"/>
            <wp:effectExtent l="19050" t="19050" r="27940" b="23495"/>
            <wp:docPr id="1" name="Image 1" descr="Une image contenant intérieur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intérieur&#10;&#10;Description générée automatiquement"/>
                    <pic:cNvPicPr/>
                  </pic:nvPicPr>
                  <pic:blipFill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2870" cy="132848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="002D4D7C">
        <w:rPr>
          <w:rFonts w:ascii="Arial" w:hAnsi="Arial" w:cs="Arial"/>
          <w:color w:val="000000" w:themeColor="text1"/>
        </w:rPr>
        <w:t xml:space="preserve">     </w:t>
      </w:r>
      <w:r w:rsidR="002D4D7C" w:rsidRPr="002D4D7C">
        <w:rPr>
          <w:rFonts w:ascii="Arial" w:hAnsi="Arial" w:cs="Arial"/>
          <w:noProof/>
          <w:color w:val="000000" w:themeColor="text1"/>
          <w:lang w:eastAsia="fr-FR"/>
        </w:rPr>
        <w:drawing>
          <wp:inline distT="0" distB="0" distL="0" distR="0" wp14:anchorId="4B546FA1" wp14:editId="3F188480">
            <wp:extent cx="2084269" cy="1305399"/>
            <wp:effectExtent l="19050" t="19050" r="11430" b="28575"/>
            <wp:docPr id="24583" name="Image 10" descr="Une image contenant texte, intérieur&#10;&#10;Description générée automatiquement">
              <a:extLst xmlns:a="http://schemas.openxmlformats.org/drawingml/2006/main">
                <a:ext uri="{FF2B5EF4-FFF2-40B4-BE49-F238E27FC236}">
                  <a16:creationId xmlns:a16="http://schemas.microsoft.com/office/drawing/2014/main" id="{2BD95524-219D-4D17-8E8C-04A239B615B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83" name="Image 10" descr="Une image contenant texte, intérieur&#10;&#10;Description générée automatiquement">
                      <a:extLst>
                        <a:ext uri="{FF2B5EF4-FFF2-40B4-BE49-F238E27FC236}">
                          <a16:creationId xmlns:a16="http://schemas.microsoft.com/office/drawing/2014/main" id="{2BD95524-219D-4D17-8E8C-04A239B615BF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8602" cy="1339428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E424A0B" w14:textId="60100317" w:rsidR="00DA7D31" w:rsidRPr="00DA7D31" w:rsidRDefault="00DA7D31" w:rsidP="00DA7D31">
      <w:pPr>
        <w:spacing w:after="60"/>
        <w:ind w:left="-284" w:right="-284"/>
        <w:jc w:val="both"/>
        <w:rPr>
          <w:rFonts w:ascii="Arial" w:hAnsi="Arial" w:cs="Arial"/>
          <w:b/>
          <w:bCs/>
          <w:color w:val="000000" w:themeColor="text1"/>
        </w:rPr>
      </w:pPr>
      <w:r w:rsidRPr="00DA7D31">
        <w:rPr>
          <w:rFonts w:ascii="Arial" w:hAnsi="Arial" w:cs="Arial"/>
          <w:b/>
          <w:bCs/>
          <w:color w:val="000000" w:themeColor="text1"/>
        </w:rPr>
        <w:t>L’inox :</w:t>
      </w:r>
    </w:p>
    <w:p w14:paraId="6C301B04" w14:textId="653E0EC4" w:rsidR="00891331" w:rsidRDefault="002B6FCC" w:rsidP="000A1E4F">
      <w:pPr>
        <w:ind w:left="-284" w:right="-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Compte tenu de </w:t>
      </w:r>
      <w:r w:rsidR="00A74773">
        <w:rPr>
          <w:rFonts w:ascii="Arial" w:hAnsi="Arial" w:cs="Arial"/>
          <w:color w:val="000000" w:themeColor="text1"/>
        </w:rPr>
        <w:t>la destination de</w:t>
      </w:r>
      <w:r>
        <w:rPr>
          <w:rFonts w:ascii="Arial" w:hAnsi="Arial" w:cs="Arial"/>
          <w:color w:val="000000" w:themeColor="text1"/>
        </w:rPr>
        <w:t>s</w:t>
      </w:r>
      <w:r w:rsidR="00A74773">
        <w:rPr>
          <w:rFonts w:ascii="Arial" w:hAnsi="Arial" w:cs="Arial"/>
          <w:color w:val="000000" w:themeColor="text1"/>
        </w:rPr>
        <w:t xml:space="preserve"> produits</w:t>
      </w:r>
      <w:r w:rsidR="00EC3CB6">
        <w:rPr>
          <w:rFonts w:ascii="Arial" w:hAnsi="Arial" w:cs="Arial"/>
          <w:color w:val="000000" w:themeColor="text1"/>
        </w:rPr>
        <w:t>,</w:t>
      </w:r>
      <w:r w:rsidR="00A74773">
        <w:rPr>
          <w:rFonts w:ascii="Arial" w:hAnsi="Arial" w:cs="Arial"/>
          <w:color w:val="000000" w:themeColor="text1"/>
        </w:rPr>
        <w:t xml:space="preserve"> la </w:t>
      </w:r>
      <w:r w:rsidR="00601DE2">
        <w:rPr>
          <w:rFonts w:ascii="Arial" w:hAnsi="Arial" w:cs="Arial"/>
          <w:color w:val="000000" w:themeColor="text1"/>
        </w:rPr>
        <w:t xml:space="preserve">principale </w:t>
      </w:r>
      <w:r w:rsidR="00A74773">
        <w:rPr>
          <w:rFonts w:ascii="Arial" w:hAnsi="Arial" w:cs="Arial"/>
          <w:color w:val="000000" w:themeColor="text1"/>
        </w:rPr>
        <w:t xml:space="preserve">matière première utilisée </w:t>
      </w:r>
      <w:r w:rsidR="00601DE2">
        <w:rPr>
          <w:rFonts w:ascii="Arial" w:hAnsi="Arial" w:cs="Arial"/>
          <w:color w:val="000000" w:themeColor="text1"/>
        </w:rPr>
        <w:t xml:space="preserve">par le groupe Serap </w:t>
      </w:r>
      <w:r w:rsidR="00A74773">
        <w:rPr>
          <w:rFonts w:ascii="Arial" w:hAnsi="Arial" w:cs="Arial"/>
          <w:color w:val="000000" w:themeColor="text1"/>
        </w:rPr>
        <w:t>est l’acier inoxydable (inox). Dans le domaine des refroidisseurs à lait</w:t>
      </w:r>
      <w:r>
        <w:rPr>
          <w:rFonts w:ascii="Arial" w:hAnsi="Arial" w:cs="Arial"/>
          <w:color w:val="000000" w:themeColor="text1"/>
        </w:rPr>
        <w:t>,</w:t>
      </w:r>
      <w:r w:rsidR="00A74773">
        <w:rPr>
          <w:rFonts w:ascii="Arial" w:hAnsi="Arial" w:cs="Arial"/>
          <w:color w:val="000000" w:themeColor="text1"/>
        </w:rPr>
        <w:t xml:space="preserve"> la réglementation</w:t>
      </w:r>
      <w:r w:rsidR="00AC6389">
        <w:rPr>
          <w:rFonts w:ascii="Arial" w:hAnsi="Arial" w:cs="Arial"/>
          <w:color w:val="000000" w:themeColor="text1"/>
        </w:rPr>
        <w:t xml:space="preserve"> internationale </w:t>
      </w:r>
      <w:r w:rsidR="00A74773">
        <w:rPr>
          <w:rFonts w:ascii="Arial" w:hAnsi="Arial" w:cs="Arial"/>
          <w:color w:val="000000" w:themeColor="text1"/>
        </w:rPr>
        <w:t xml:space="preserve">oblige l’utilisation </w:t>
      </w:r>
      <w:r w:rsidR="00EC3CB6">
        <w:rPr>
          <w:rFonts w:ascii="Arial" w:hAnsi="Arial" w:cs="Arial"/>
          <w:color w:val="000000" w:themeColor="text1"/>
        </w:rPr>
        <w:t>a</w:t>
      </w:r>
      <w:r w:rsidR="00AC6389">
        <w:rPr>
          <w:rFonts w:ascii="Arial" w:hAnsi="Arial" w:cs="Arial"/>
          <w:color w:val="000000" w:themeColor="text1"/>
        </w:rPr>
        <w:t xml:space="preserve">u minimum de </w:t>
      </w:r>
      <w:r w:rsidR="00A74773">
        <w:rPr>
          <w:rFonts w:ascii="Arial" w:hAnsi="Arial" w:cs="Arial"/>
          <w:color w:val="000000" w:themeColor="text1"/>
        </w:rPr>
        <w:t>l’inox</w:t>
      </w:r>
      <w:r w:rsidR="00AC6389">
        <w:rPr>
          <w:rFonts w:ascii="Arial" w:hAnsi="Arial" w:cs="Arial"/>
          <w:color w:val="000000" w:themeColor="text1"/>
        </w:rPr>
        <w:t xml:space="preserve"> 304, jusqu’aux inox 316.</w:t>
      </w:r>
    </w:p>
    <w:p w14:paraId="4375EFB2" w14:textId="5A732F3A" w:rsidR="00AC6389" w:rsidRDefault="00AC6389" w:rsidP="00E27090">
      <w:pPr>
        <w:spacing w:after="40"/>
        <w:ind w:left="-284" w:right="-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L’inox e</w:t>
      </w:r>
      <w:r w:rsidR="00E37FC5">
        <w:rPr>
          <w:rFonts w:ascii="Arial" w:hAnsi="Arial" w:cs="Arial"/>
          <w:color w:val="000000" w:themeColor="text1"/>
        </w:rPr>
        <w:t>st</w:t>
      </w:r>
      <w:r>
        <w:rPr>
          <w:rFonts w:ascii="Arial" w:hAnsi="Arial" w:cs="Arial"/>
          <w:color w:val="000000" w:themeColor="text1"/>
        </w:rPr>
        <w:t xml:space="preserve"> de l’acier (mélange fer</w:t>
      </w:r>
      <w:r w:rsidR="002877F5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+</w:t>
      </w:r>
      <w:r w:rsidR="002877F5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 xml:space="preserve">carbone) dans lequel </w:t>
      </w:r>
      <w:r w:rsidR="002B6FCC">
        <w:rPr>
          <w:rFonts w:ascii="Arial" w:hAnsi="Arial" w:cs="Arial"/>
          <w:color w:val="000000" w:themeColor="text1"/>
        </w:rPr>
        <w:t xml:space="preserve">est </w:t>
      </w:r>
      <w:r>
        <w:rPr>
          <w:rFonts w:ascii="Arial" w:hAnsi="Arial" w:cs="Arial"/>
          <w:color w:val="000000" w:themeColor="text1"/>
        </w:rPr>
        <w:t>r</w:t>
      </w:r>
      <w:r w:rsidR="00601DE2">
        <w:rPr>
          <w:rFonts w:ascii="Arial" w:hAnsi="Arial" w:cs="Arial"/>
          <w:color w:val="000000" w:themeColor="text1"/>
        </w:rPr>
        <w:t>a</w:t>
      </w:r>
      <w:r>
        <w:rPr>
          <w:rFonts w:ascii="Arial" w:hAnsi="Arial" w:cs="Arial"/>
          <w:color w:val="000000" w:themeColor="text1"/>
        </w:rPr>
        <w:t>jout</w:t>
      </w:r>
      <w:r w:rsidR="002B6FCC">
        <w:rPr>
          <w:rFonts w:ascii="Arial" w:hAnsi="Arial" w:cs="Arial"/>
          <w:color w:val="000000" w:themeColor="text1"/>
        </w:rPr>
        <w:t>é</w:t>
      </w:r>
      <w:r>
        <w:rPr>
          <w:rFonts w:ascii="Arial" w:hAnsi="Arial" w:cs="Arial"/>
          <w:color w:val="000000" w:themeColor="text1"/>
        </w:rPr>
        <w:t xml:space="preserve"> </w:t>
      </w:r>
      <w:r w:rsidR="00E37FC5">
        <w:rPr>
          <w:rFonts w:ascii="Arial" w:hAnsi="Arial" w:cs="Arial"/>
          <w:color w:val="000000" w:themeColor="text1"/>
        </w:rPr>
        <w:t>principalement du chrome</w:t>
      </w:r>
      <w:r w:rsidR="00EC3CB6">
        <w:rPr>
          <w:rFonts w:ascii="Arial" w:hAnsi="Arial" w:cs="Arial"/>
          <w:color w:val="000000" w:themeColor="text1"/>
        </w:rPr>
        <w:t xml:space="preserve"> et dans certains cas du nickel</w:t>
      </w:r>
      <w:r w:rsidR="00DA7D31">
        <w:rPr>
          <w:rFonts w:ascii="Arial" w:hAnsi="Arial" w:cs="Arial"/>
          <w:color w:val="000000" w:themeColor="text1"/>
        </w:rPr>
        <w:t xml:space="preserve"> et molybdène. Chaque nuance d’inox </w:t>
      </w:r>
      <w:r w:rsidR="002B6FCC">
        <w:rPr>
          <w:rFonts w:ascii="Arial" w:hAnsi="Arial" w:cs="Arial"/>
          <w:color w:val="000000" w:themeColor="text1"/>
        </w:rPr>
        <w:t>est créée</w:t>
      </w:r>
      <w:r w:rsidR="00F01EA8">
        <w:rPr>
          <w:rFonts w:ascii="Arial" w:hAnsi="Arial" w:cs="Arial"/>
          <w:color w:val="000000" w:themeColor="text1"/>
        </w:rPr>
        <w:t xml:space="preserve"> en fonction de son </w:t>
      </w:r>
      <w:r w:rsidR="00F01EA8" w:rsidRPr="002415AE">
        <w:rPr>
          <w:rFonts w:ascii="Arial" w:hAnsi="Arial" w:cs="Arial"/>
          <w:color w:val="000000" w:themeColor="text1"/>
        </w:rPr>
        <w:t xml:space="preserve">utilisation </w:t>
      </w:r>
      <w:r w:rsidR="002B6FCC" w:rsidRPr="002415AE">
        <w:rPr>
          <w:rFonts w:ascii="Arial" w:hAnsi="Arial" w:cs="Arial"/>
          <w:color w:val="000000" w:themeColor="text1"/>
        </w:rPr>
        <w:t xml:space="preserve">afin de concilier </w:t>
      </w:r>
      <w:r w:rsidR="00F01EA8" w:rsidRPr="002415AE">
        <w:rPr>
          <w:rFonts w:ascii="Arial" w:hAnsi="Arial" w:cs="Arial"/>
          <w:color w:val="000000" w:themeColor="text1"/>
        </w:rPr>
        <w:t xml:space="preserve">: </w:t>
      </w:r>
      <w:r w:rsidR="00F01EA8">
        <w:rPr>
          <w:rFonts w:ascii="Arial" w:hAnsi="Arial" w:cs="Arial"/>
          <w:color w:val="000000" w:themeColor="text1"/>
        </w:rPr>
        <w:t>Résistance à la corrosion, usinabilité, soudabilité, ductilité</w:t>
      </w:r>
      <w:r w:rsidR="002415AE">
        <w:rPr>
          <w:rFonts w:ascii="Arial" w:hAnsi="Arial" w:cs="Arial"/>
          <w:color w:val="000000" w:themeColor="text1"/>
        </w:rPr>
        <w:t xml:space="preserve"> </w:t>
      </w:r>
      <w:r w:rsidR="00F01EA8">
        <w:rPr>
          <w:rFonts w:ascii="Arial" w:hAnsi="Arial" w:cs="Arial"/>
          <w:color w:val="000000" w:themeColor="text1"/>
        </w:rPr>
        <w:t>(*), rigidité, résistance à l’usure et à la chaleur…</w:t>
      </w:r>
    </w:p>
    <w:p w14:paraId="21879627" w14:textId="45B24644" w:rsidR="00E37FC5" w:rsidRPr="00E37FC5" w:rsidRDefault="002415AE" w:rsidP="000A1E4F">
      <w:pPr>
        <w:ind w:left="-284" w:right="-284"/>
        <w:jc w:val="both"/>
        <w:rPr>
          <w:rFonts w:ascii="Arial" w:hAnsi="Arial" w:cs="Arial"/>
          <w:color w:val="000000" w:themeColor="text1"/>
        </w:rPr>
      </w:pPr>
      <w:r w:rsidRPr="002415AE">
        <w:rPr>
          <w:rFonts w:ascii="Arial" w:hAnsi="Arial" w:cs="Arial"/>
          <w:color w:val="000000" w:themeColor="text1"/>
        </w:rPr>
        <w:t>C</w:t>
      </w:r>
      <w:r w:rsidR="002B6FCC" w:rsidRPr="002415AE">
        <w:rPr>
          <w:rFonts w:ascii="Arial" w:hAnsi="Arial" w:cs="Arial"/>
          <w:color w:val="000000" w:themeColor="text1"/>
        </w:rPr>
        <w:t xml:space="preserve">oncrètement, </w:t>
      </w:r>
      <w:r w:rsidR="00E37FC5" w:rsidRPr="002415AE">
        <w:rPr>
          <w:rFonts w:ascii="Arial" w:hAnsi="Arial" w:cs="Arial"/>
          <w:color w:val="000000" w:themeColor="text1"/>
        </w:rPr>
        <w:t>sa résistance</w:t>
      </w:r>
      <w:r w:rsidR="00EC3CB6" w:rsidRPr="002415AE">
        <w:rPr>
          <w:rFonts w:ascii="Arial" w:hAnsi="Arial" w:cs="Arial"/>
          <w:color w:val="000000" w:themeColor="text1"/>
        </w:rPr>
        <w:t xml:space="preserve"> </w:t>
      </w:r>
      <w:r w:rsidR="00EC3CB6" w:rsidRPr="000A1E4F">
        <w:rPr>
          <w:rFonts w:ascii="Arial" w:hAnsi="Arial" w:cs="Arial"/>
          <w:color w:val="000000" w:themeColor="text1"/>
        </w:rPr>
        <w:t xml:space="preserve">à la corrosion </w:t>
      </w:r>
      <w:r w:rsidR="00E37FC5" w:rsidRPr="00E37FC5">
        <w:rPr>
          <w:rFonts w:ascii="Arial" w:hAnsi="Arial" w:cs="Arial"/>
          <w:color w:val="000000" w:themeColor="text1"/>
        </w:rPr>
        <w:t xml:space="preserve">est due à une fine couche d’oxyde formée à la surface. Cette couche protectrice </w:t>
      </w:r>
      <w:r w:rsidR="00E37FC5" w:rsidRPr="00E37349">
        <w:rPr>
          <w:rFonts w:ascii="Arial" w:hAnsi="Arial" w:cs="Arial"/>
          <w:color w:val="000000" w:themeColor="text1"/>
        </w:rPr>
        <w:t xml:space="preserve">retarde </w:t>
      </w:r>
      <w:r w:rsidR="002B6FCC" w:rsidRPr="00E37349">
        <w:rPr>
          <w:rFonts w:ascii="Arial" w:hAnsi="Arial" w:cs="Arial"/>
          <w:color w:val="000000" w:themeColor="text1"/>
        </w:rPr>
        <w:t xml:space="preserve">considérablement </w:t>
      </w:r>
      <w:r w:rsidR="00E37FC5" w:rsidRPr="00E37349">
        <w:rPr>
          <w:rFonts w:ascii="Arial" w:hAnsi="Arial" w:cs="Arial"/>
          <w:color w:val="000000" w:themeColor="text1"/>
        </w:rPr>
        <w:t xml:space="preserve">le processus </w:t>
      </w:r>
      <w:r w:rsidR="00E37FC5" w:rsidRPr="00E37FC5">
        <w:rPr>
          <w:rFonts w:ascii="Arial" w:hAnsi="Arial" w:cs="Arial"/>
          <w:color w:val="000000" w:themeColor="text1"/>
        </w:rPr>
        <w:t>d’oxydation (formation de rouille)</w:t>
      </w:r>
      <w:r w:rsidR="00601DE2" w:rsidRPr="000A1E4F">
        <w:rPr>
          <w:rFonts w:ascii="Arial" w:hAnsi="Arial" w:cs="Arial"/>
          <w:color w:val="000000" w:themeColor="text1"/>
        </w:rPr>
        <w:t xml:space="preserve">. </w:t>
      </w:r>
      <w:r w:rsidR="00E37FC5" w:rsidRPr="00E37FC5">
        <w:rPr>
          <w:rFonts w:ascii="Arial" w:hAnsi="Arial" w:cs="Arial"/>
          <w:color w:val="000000" w:themeColor="text1"/>
        </w:rPr>
        <w:t>Pour être classé dans la catégorie inoxydable, un acier doit contenir au moins</w:t>
      </w:r>
      <w:r w:rsidR="00DA7D31">
        <w:rPr>
          <w:rFonts w:ascii="Arial" w:hAnsi="Arial" w:cs="Arial"/>
          <w:color w:val="000000" w:themeColor="text1"/>
        </w:rPr>
        <w:t xml:space="preserve"> </w:t>
      </w:r>
      <w:r w:rsidR="00E37FC5" w:rsidRPr="00E37FC5">
        <w:rPr>
          <w:rFonts w:ascii="Arial" w:hAnsi="Arial" w:cs="Arial"/>
          <w:color w:val="000000" w:themeColor="text1"/>
        </w:rPr>
        <w:t>10,5%</w:t>
      </w:r>
      <w:r w:rsidR="00DA7D31">
        <w:rPr>
          <w:rFonts w:ascii="Arial" w:hAnsi="Arial" w:cs="Arial"/>
          <w:color w:val="000000" w:themeColor="text1"/>
        </w:rPr>
        <w:t xml:space="preserve"> </w:t>
      </w:r>
      <w:r w:rsidR="00E37FC5" w:rsidRPr="00E37FC5">
        <w:rPr>
          <w:rFonts w:ascii="Arial" w:hAnsi="Arial" w:cs="Arial"/>
          <w:color w:val="000000" w:themeColor="text1"/>
        </w:rPr>
        <w:t>de chrome et moins de</w:t>
      </w:r>
      <w:r w:rsidR="00DA7D31">
        <w:rPr>
          <w:rFonts w:ascii="Arial" w:hAnsi="Arial" w:cs="Arial"/>
          <w:color w:val="000000" w:themeColor="text1"/>
        </w:rPr>
        <w:t xml:space="preserve"> </w:t>
      </w:r>
      <w:r w:rsidR="00E37FC5" w:rsidRPr="00E37FC5">
        <w:rPr>
          <w:rFonts w:ascii="Arial" w:hAnsi="Arial" w:cs="Arial"/>
          <w:color w:val="000000" w:themeColor="text1"/>
        </w:rPr>
        <w:t>1,2%</w:t>
      </w:r>
      <w:r w:rsidR="00DA7D31">
        <w:rPr>
          <w:rFonts w:ascii="Arial" w:hAnsi="Arial" w:cs="Arial"/>
          <w:color w:val="000000" w:themeColor="text1"/>
        </w:rPr>
        <w:t xml:space="preserve"> </w:t>
      </w:r>
      <w:r w:rsidR="00E37FC5" w:rsidRPr="00E37FC5">
        <w:rPr>
          <w:rFonts w:ascii="Arial" w:hAnsi="Arial" w:cs="Arial"/>
          <w:color w:val="000000" w:themeColor="text1"/>
        </w:rPr>
        <w:t xml:space="preserve">de carbone. </w:t>
      </w:r>
    </w:p>
    <w:p w14:paraId="01A55A04" w14:textId="4E8179A4" w:rsidR="00ED7F09" w:rsidRPr="00E37349" w:rsidRDefault="00E37349" w:rsidP="00ED7F09">
      <w:pPr>
        <w:ind w:left="-284" w:right="-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Utilisés pour les tanks SERAP, les I</w:t>
      </w:r>
      <w:r w:rsidR="00DA7D31" w:rsidRPr="00DA7D31">
        <w:rPr>
          <w:rFonts w:ascii="Arial" w:hAnsi="Arial" w:cs="Arial"/>
          <w:color w:val="000000" w:themeColor="text1"/>
        </w:rPr>
        <w:t>nox 304 et 304L</w:t>
      </w:r>
      <w:r>
        <w:rPr>
          <w:rFonts w:ascii="Arial" w:hAnsi="Arial" w:cs="Arial"/>
          <w:color w:val="000000" w:themeColor="text1"/>
        </w:rPr>
        <w:t xml:space="preserve"> </w:t>
      </w:r>
      <w:r w:rsidR="002B6FCC">
        <w:rPr>
          <w:rFonts w:ascii="Arial" w:hAnsi="Arial" w:cs="Arial"/>
          <w:color w:val="000000" w:themeColor="text1"/>
        </w:rPr>
        <w:t>(a</w:t>
      </w:r>
      <w:r w:rsidR="00DA7D31" w:rsidRPr="00DA7D31">
        <w:rPr>
          <w:rFonts w:ascii="Arial" w:hAnsi="Arial" w:cs="Arial"/>
          <w:color w:val="000000" w:themeColor="text1"/>
        </w:rPr>
        <w:t>lliages sans ajouts en molybdène</w:t>
      </w:r>
      <w:r w:rsidR="002B6FCC">
        <w:rPr>
          <w:rFonts w:ascii="Arial" w:hAnsi="Arial" w:cs="Arial"/>
          <w:color w:val="000000" w:themeColor="text1"/>
        </w:rPr>
        <w:t>)</w:t>
      </w:r>
      <w:r w:rsidR="00DA7D31" w:rsidRPr="00DA7D31">
        <w:rPr>
          <w:rFonts w:ascii="Arial" w:hAnsi="Arial" w:cs="Arial"/>
          <w:color w:val="000000" w:themeColor="text1"/>
        </w:rPr>
        <w:t xml:space="preserve"> offrent une bonne résistance à la corrosion ambiante et inter granulaire</w:t>
      </w:r>
      <w:r w:rsidR="00C838F4">
        <w:rPr>
          <w:rFonts w:ascii="Arial" w:hAnsi="Arial" w:cs="Arial"/>
          <w:color w:val="000000" w:themeColor="text1"/>
        </w:rPr>
        <w:t>, ainsi qu’une</w:t>
      </w:r>
      <w:r w:rsidR="00DA7D31" w:rsidRPr="00DA7D31">
        <w:rPr>
          <w:rFonts w:ascii="Arial" w:hAnsi="Arial" w:cs="Arial"/>
          <w:color w:val="000000" w:themeColor="text1"/>
        </w:rPr>
        <w:t xml:space="preserve"> bonne </w:t>
      </w:r>
      <w:r w:rsidR="00DA7D31" w:rsidRPr="00E37349">
        <w:rPr>
          <w:rFonts w:ascii="Arial" w:hAnsi="Arial" w:cs="Arial"/>
          <w:color w:val="000000" w:themeColor="text1"/>
        </w:rPr>
        <w:t>soudabilité</w:t>
      </w:r>
      <w:r w:rsidR="00ED7F09" w:rsidRPr="00E37349">
        <w:rPr>
          <w:rFonts w:ascii="Arial" w:hAnsi="Arial" w:cs="Arial"/>
          <w:color w:val="000000" w:themeColor="text1"/>
        </w:rPr>
        <w:t>.</w:t>
      </w:r>
    </w:p>
    <w:p w14:paraId="0EBED738" w14:textId="1FB1919D" w:rsidR="00F21BAC" w:rsidRDefault="00ED7F09" w:rsidP="00F21BAC">
      <w:pPr>
        <w:spacing w:after="60" w:line="240" w:lineRule="auto"/>
        <w:ind w:left="-284" w:right="-284"/>
        <w:jc w:val="both"/>
        <w:rPr>
          <w:rFonts w:ascii="Arial" w:hAnsi="Arial" w:cs="Arial"/>
          <w:color w:val="000000" w:themeColor="text1"/>
        </w:rPr>
      </w:pPr>
      <w:bookmarkStart w:id="0" w:name="connaissances_chaudronnerie"/>
      <w:bookmarkStart w:id="1" w:name="branches_chaudronnerie"/>
      <w:bookmarkEnd w:id="0"/>
      <w:bookmarkEnd w:id="1"/>
      <w:r w:rsidRPr="00ED7F09">
        <w:rPr>
          <w:rFonts w:ascii="Arial" w:hAnsi="Arial" w:cs="Arial"/>
          <w:b/>
          <w:bCs/>
          <w:color w:val="000000" w:themeColor="text1"/>
        </w:rPr>
        <w:t>L’assemblage (les soudures) :</w:t>
      </w:r>
      <w:r w:rsidR="0095102A">
        <w:rPr>
          <w:rFonts w:ascii="Arial" w:hAnsi="Arial" w:cs="Arial"/>
          <w:b/>
          <w:bCs/>
          <w:color w:val="000000" w:themeColor="text1"/>
        </w:rPr>
        <w:t xml:space="preserve"> </w:t>
      </w:r>
    </w:p>
    <w:p w14:paraId="723A0F61" w14:textId="719E5EA2" w:rsidR="0095102A" w:rsidRPr="0095102A" w:rsidRDefault="006300FC" w:rsidP="00F21BAC">
      <w:pPr>
        <w:spacing w:after="60" w:line="240" w:lineRule="auto"/>
        <w:ind w:left="-284" w:right="-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</w:t>
      </w:r>
      <w:r w:rsidR="0095102A">
        <w:rPr>
          <w:rFonts w:ascii="Arial" w:hAnsi="Arial" w:cs="Arial"/>
          <w:color w:val="000000" w:themeColor="text1"/>
        </w:rPr>
        <w:t>our la fabrication d’un refroidisseur à lait</w:t>
      </w:r>
      <w:r>
        <w:rPr>
          <w:rFonts w:ascii="Arial" w:hAnsi="Arial" w:cs="Arial"/>
          <w:color w:val="000000" w:themeColor="text1"/>
        </w:rPr>
        <w:t>, l</w:t>
      </w:r>
      <w:r w:rsidRPr="0095102A">
        <w:rPr>
          <w:rFonts w:ascii="Arial" w:hAnsi="Arial" w:cs="Arial"/>
          <w:color w:val="000000" w:themeColor="text1"/>
        </w:rPr>
        <w:t xml:space="preserve">es </w:t>
      </w:r>
      <w:r>
        <w:rPr>
          <w:rFonts w:ascii="Arial" w:hAnsi="Arial" w:cs="Arial"/>
          <w:color w:val="000000" w:themeColor="text1"/>
        </w:rPr>
        <w:t>caractéristiques essentielles sont</w:t>
      </w:r>
      <w:r w:rsidR="0095102A">
        <w:rPr>
          <w:rFonts w:ascii="Arial" w:hAnsi="Arial" w:cs="Arial"/>
          <w:color w:val="000000" w:themeColor="text1"/>
        </w:rPr>
        <w:t xml:space="preserve"> l’étanchéité de la cuve et sa tenue dans le temps (durée de vie moyenne de 50 ans). </w:t>
      </w:r>
      <w:r w:rsidR="0049764C">
        <w:rPr>
          <w:rFonts w:ascii="Arial" w:hAnsi="Arial" w:cs="Arial"/>
          <w:color w:val="000000" w:themeColor="text1"/>
        </w:rPr>
        <w:t xml:space="preserve">Afin de </w:t>
      </w:r>
      <w:r w:rsidR="0095102A">
        <w:rPr>
          <w:rFonts w:ascii="Arial" w:hAnsi="Arial" w:cs="Arial"/>
          <w:color w:val="000000" w:themeColor="text1"/>
        </w:rPr>
        <w:t xml:space="preserve">respecter </w:t>
      </w:r>
      <w:r w:rsidR="0049764C">
        <w:rPr>
          <w:rFonts w:ascii="Arial" w:hAnsi="Arial" w:cs="Arial"/>
          <w:color w:val="000000" w:themeColor="text1"/>
        </w:rPr>
        <w:t>ce cahier des charges, les t</w:t>
      </w:r>
      <w:r w:rsidR="0049764C" w:rsidRPr="0095102A">
        <w:rPr>
          <w:rFonts w:ascii="Arial" w:hAnsi="Arial" w:cs="Arial"/>
          <w:color w:val="000000" w:themeColor="text1"/>
        </w:rPr>
        <w:t>ypes de</w:t>
      </w:r>
      <w:r w:rsidR="0049764C" w:rsidRPr="00F21BAC">
        <w:rPr>
          <w:rFonts w:ascii="Arial" w:hAnsi="Arial" w:cs="Arial"/>
          <w:color w:val="000000" w:themeColor="text1"/>
        </w:rPr>
        <w:t xml:space="preserve"> soudure</w:t>
      </w:r>
      <w:r w:rsidR="0049764C">
        <w:rPr>
          <w:rFonts w:ascii="Arial" w:hAnsi="Arial" w:cs="Arial"/>
          <w:color w:val="000000" w:themeColor="text1"/>
        </w:rPr>
        <w:t>s</w:t>
      </w:r>
      <w:r w:rsidR="0049764C" w:rsidRPr="00F21BAC">
        <w:rPr>
          <w:rFonts w:ascii="Arial" w:hAnsi="Arial" w:cs="Arial"/>
          <w:color w:val="000000" w:themeColor="text1"/>
        </w:rPr>
        <w:t xml:space="preserve"> employés à S</w:t>
      </w:r>
      <w:r w:rsidRPr="00F21BAC">
        <w:rPr>
          <w:rFonts w:ascii="Arial" w:hAnsi="Arial" w:cs="Arial"/>
          <w:color w:val="000000" w:themeColor="text1"/>
        </w:rPr>
        <w:t>ERAP</w:t>
      </w:r>
      <w:r w:rsidR="0049764C">
        <w:rPr>
          <w:rFonts w:ascii="Arial" w:hAnsi="Arial" w:cs="Arial"/>
          <w:color w:val="000000" w:themeColor="text1"/>
        </w:rPr>
        <w:t xml:space="preserve"> </w:t>
      </w:r>
      <w:r w:rsidR="0049764C" w:rsidRPr="00F21BAC">
        <w:rPr>
          <w:rFonts w:ascii="Arial" w:hAnsi="Arial" w:cs="Arial"/>
          <w:color w:val="000000" w:themeColor="text1"/>
        </w:rPr>
        <w:t>sur l’inox</w:t>
      </w:r>
      <w:r w:rsidR="0049764C">
        <w:rPr>
          <w:rFonts w:ascii="Arial" w:hAnsi="Arial" w:cs="Arial"/>
          <w:color w:val="000000" w:themeColor="text1"/>
        </w:rPr>
        <w:t> </w:t>
      </w:r>
      <w:r>
        <w:rPr>
          <w:rFonts w:ascii="Arial" w:hAnsi="Arial" w:cs="Arial"/>
          <w:color w:val="000000" w:themeColor="text1"/>
        </w:rPr>
        <w:t>sont les suivantes</w:t>
      </w:r>
      <w:r w:rsidR="00D342F6">
        <w:rPr>
          <w:rFonts w:ascii="Arial" w:hAnsi="Arial" w:cs="Arial"/>
          <w:color w:val="000000" w:themeColor="text1"/>
        </w:rPr>
        <w:t xml:space="preserve"> </w:t>
      </w:r>
      <w:r w:rsidR="0049764C">
        <w:rPr>
          <w:rFonts w:ascii="Arial" w:hAnsi="Arial" w:cs="Arial"/>
          <w:color w:val="000000" w:themeColor="text1"/>
        </w:rPr>
        <w:t>:</w:t>
      </w:r>
    </w:p>
    <w:p w14:paraId="74477A2A" w14:textId="2655EC4E" w:rsidR="00F21BAC" w:rsidRPr="0095102A" w:rsidRDefault="007B7FF4" w:rsidP="0095102A">
      <w:pPr>
        <w:pStyle w:val="Paragraphedeliste"/>
        <w:numPr>
          <w:ilvl w:val="0"/>
          <w:numId w:val="12"/>
        </w:numPr>
        <w:spacing w:after="60" w:line="240" w:lineRule="auto"/>
        <w:ind w:right="-284"/>
        <w:jc w:val="both"/>
        <w:rPr>
          <w:rFonts w:ascii="Arial" w:hAnsi="Arial" w:cs="Arial"/>
          <w:color w:val="000000" w:themeColor="text1"/>
        </w:rPr>
      </w:pPr>
      <w:r w:rsidRPr="008778F4">
        <w:rPr>
          <w:rFonts w:ascii="Arial" w:eastAsia="Times New Roman" w:hAnsi="Arial" w:cs="Arial"/>
          <w:noProof/>
          <w:color w:val="333333"/>
          <w:lang w:eastAsia="fr-FR"/>
        </w:rPr>
        <w:drawing>
          <wp:anchor distT="0" distB="0" distL="114300" distR="114300" simplePos="0" relativeHeight="251658240" behindDoc="1" locked="0" layoutInCell="1" allowOverlap="1" wp14:anchorId="7AA28AFE" wp14:editId="01D77405">
            <wp:simplePos x="0" y="0"/>
            <wp:positionH relativeFrom="column">
              <wp:posOffset>3555365</wp:posOffset>
            </wp:positionH>
            <wp:positionV relativeFrom="paragraph">
              <wp:posOffset>19050</wp:posOffset>
            </wp:positionV>
            <wp:extent cx="2516505" cy="2574290"/>
            <wp:effectExtent l="0" t="0" r="0" b="0"/>
            <wp:wrapTight wrapText="bothSides">
              <wp:wrapPolygon edited="0">
                <wp:start x="0" y="0"/>
                <wp:lineTo x="0" y="21419"/>
                <wp:lineTo x="21420" y="21419"/>
                <wp:lineTo x="21420" y="0"/>
                <wp:lineTo x="0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6505" cy="2574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21BAC" w:rsidRPr="0095102A">
        <w:rPr>
          <w:rFonts w:ascii="Arial" w:hAnsi="Arial" w:cs="Arial"/>
          <w:color w:val="000000" w:themeColor="text1"/>
        </w:rPr>
        <w:t>Soudure TIG</w:t>
      </w:r>
      <w:r w:rsidR="00A16DA8">
        <w:rPr>
          <w:rFonts w:ascii="Arial" w:hAnsi="Arial" w:cs="Arial"/>
          <w:color w:val="000000" w:themeColor="text1"/>
        </w:rPr>
        <w:t xml:space="preserve"> </w:t>
      </w:r>
      <w:r w:rsidR="00F927B2">
        <w:rPr>
          <w:rFonts w:ascii="Arial" w:hAnsi="Arial" w:cs="Arial"/>
          <w:color w:val="000000" w:themeColor="text1"/>
        </w:rPr>
        <w:t>(*)</w:t>
      </w:r>
      <w:r w:rsidR="00F21BAC" w:rsidRPr="0095102A">
        <w:rPr>
          <w:rFonts w:ascii="Arial" w:hAnsi="Arial" w:cs="Arial"/>
          <w:color w:val="000000" w:themeColor="text1"/>
        </w:rPr>
        <w:t xml:space="preserve"> (manuelle ou automatique) avec protection gaz neutre (azote) pour l’assemblage des tôles </w:t>
      </w:r>
      <w:r w:rsidR="00DA2B6D">
        <w:rPr>
          <w:rFonts w:ascii="Arial" w:hAnsi="Arial" w:cs="Arial"/>
          <w:color w:val="000000" w:themeColor="text1"/>
        </w:rPr>
        <w:t>du</w:t>
      </w:r>
      <w:r w:rsidR="00F21BAC" w:rsidRPr="0095102A">
        <w:rPr>
          <w:rFonts w:ascii="Arial" w:hAnsi="Arial" w:cs="Arial"/>
          <w:color w:val="000000" w:themeColor="text1"/>
        </w:rPr>
        <w:t xml:space="preserve"> refroidisseur et pour les soudures de tuyauteries inox</w:t>
      </w:r>
      <w:r w:rsidR="00DA2B6D">
        <w:rPr>
          <w:rFonts w:ascii="Arial" w:hAnsi="Arial" w:cs="Arial"/>
          <w:color w:val="000000" w:themeColor="text1"/>
        </w:rPr>
        <w:t>.</w:t>
      </w:r>
    </w:p>
    <w:p w14:paraId="7526A300" w14:textId="5E4F0F61" w:rsidR="00F21BAC" w:rsidRPr="0095102A" w:rsidRDefault="00F21BAC" w:rsidP="0049764C">
      <w:pPr>
        <w:pStyle w:val="Paragraphedeliste"/>
        <w:numPr>
          <w:ilvl w:val="0"/>
          <w:numId w:val="12"/>
        </w:numPr>
        <w:spacing w:after="120" w:line="240" w:lineRule="auto"/>
        <w:ind w:left="431" w:right="-284" w:hanging="357"/>
        <w:jc w:val="both"/>
        <w:rPr>
          <w:rFonts w:ascii="Arial" w:hAnsi="Arial" w:cs="Arial"/>
          <w:color w:val="000000" w:themeColor="text1"/>
        </w:rPr>
      </w:pPr>
      <w:r w:rsidRPr="0095102A">
        <w:rPr>
          <w:rFonts w:ascii="Arial" w:hAnsi="Arial" w:cs="Arial"/>
          <w:color w:val="000000" w:themeColor="text1"/>
        </w:rPr>
        <w:t>Soudure MIG pour les soudures sur châssis de cuve (tôles épaisses)</w:t>
      </w:r>
      <w:r w:rsidR="00DA2B6D">
        <w:rPr>
          <w:rFonts w:ascii="Arial" w:hAnsi="Arial" w:cs="Arial"/>
          <w:color w:val="000000" w:themeColor="text1"/>
        </w:rPr>
        <w:t>.</w:t>
      </w:r>
    </w:p>
    <w:p w14:paraId="6C3F0E7F" w14:textId="1F6D11EA" w:rsidR="00E37FC5" w:rsidRDefault="0049764C" w:rsidP="00E27090">
      <w:pPr>
        <w:spacing w:after="60" w:line="240" w:lineRule="auto"/>
        <w:ind w:left="-284"/>
        <w:jc w:val="both"/>
        <w:rPr>
          <w:rFonts w:ascii="Arial" w:eastAsia="Times New Roman" w:hAnsi="Arial" w:cs="Arial"/>
          <w:color w:val="333333"/>
          <w:lang w:eastAsia="fr-FR"/>
        </w:rPr>
      </w:pPr>
      <w:r>
        <w:rPr>
          <w:rFonts w:ascii="Arial" w:eastAsia="Times New Roman" w:hAnsi="Arial" w:cs="Arial"/>
          <w:color w:val="333333"/>
          <w:lang w:eastAsia="fr-FR"/>
        </w:rPr>
        <w:t xml:space="preserve">Ces deux types de soudures </w:t>
      </w:r>
      <w:r w:rsidR="00E27090">
        <w:rPr>
          <w:rFonts w:ascii="Arial" w:eastAsia="Times New Roman" w:hAnsi="Arial" w:cs="Arial"/>
          <w:color w:val="333333"/>
          <w:lang w:eastAsia="fr-FR"/>
        </w:rPr>
        <w:t>sont sous protection gazeuse</w:t>
      </w:r>
      <w:r w:rsidR="006300FC">
        <w:rPr>
          <w:rFonts w:ascii="Arial" w:eastAsia="Times New Roman" w:hAnsi="Arial" w:cs="Arial"/>
          <w:color w:val="333333"/>
          <w:lang w:eastAsia="fr-FR"/>
        </w:rPr>
        <w:t> :</w:t>
      </w:r>
      <w:r w:rsidR="00E27090">
        <w:rPr>
          <w:rFonts w:ascii="Arial" w:eastAsia="Times New Roman" w:hAnsi="Arial" w:cs="Arial"/>
          <w:color w:val="333333"/>
          <w:lang w:eastAsia="fr-FR"/>
        </w:rPr>
        <w:t xml:space="preserve"> la présence d’oxygène pendant la solidification du métal en fusion aurait comme conséquence une oxydation interne et donc une durée de vie limitée.</w:t>
      </w:r>
    </w:p>
    <w:p w14:paraId="10BD573F" w14:textId="77777777" w:rsidR="00DC1E42" w:rsidRPr="00ED7F09" w:rsidRDefault="00DC1E42" w:rsidP="00E27090">
      <w:pPr>
        <w:spacing w:after="60" w:line="240" w:lineRule="auto"/>
        <w:ind w:left="-284"/>
        <w:jc w:val="both"/>
        <w:rPr>
          <w:rFonts w:ascii="Arial" w:eastAsia="Times New Roman" w:hAnsi="Arial" w:cs="Arial"/>
          <w:color w:val="333333"/>
          <w:lang w:eastAsia="fr-FR"/>
        </w:rPr>
      </w:pPr>
    </w:p>
    <w:p w14:paraId="107BB9B2" w14:textId="34CF9B5B" w:rsidR="00891331" w:rsidRDefault="00E37FC5" w:rsidP="00E37349">
      <w:pPr>
        <w:rPr>
          <w:rFonts w:ascii="Arial" w:hAnsi="Arial" w:cs="Arial"/>
          <w:color w:val="000000" w:themeColor="text1"/>
          <w:sz w:val="16"/>
          <w:szCs w:val="16"/>
        </w:rPr>
      </w:pPr>
      <w:r w:rsidRPr="00E27090">
        <w:rPr>
          <w:rFonts w:ascii="Arial" w:hAnsi="Arial" w:cs="Arial"/>
          <w:color w:val="000000" w:themeColor="text1"/>
          <w:sz w:val="16"/>
          <w:szCs w:val="16"/>
        </w:rPr>
        <w:t xml:space="preserve">Sources : </w:t>
      </w:r>
      <w:hyperlink r:id="rId12" w:history="1">
        <w:r w:rsidR="004216FF" w:rsidRPr="007C3BC8">
          <w:rPr>
            <w:rStyle w:val="Lienhypertexte"/>
            <w:rFonts w:ascii="Arial" w:hAnsi="Arial" w:cs="Arial"/>
            <w:sz w:val="16"/>
            <w:szCs w:val="16"/>
          </w:rPr>
          <w:t>https://www.inox-system.fr/content/23-generalites-sur-les-aciers-inoxydables</w:t>
        </w:r>
      </w:hyperlink>
    </w:p>
    <w:p w14:paraId="514287B1" w14:textId="77777777" w:rsidR="004216FF" w:rsidRPr="00E27090" w:rsidRDefault="004216FF" w:rsidP="004216FF">
      <w:pPr>
        <w:jc w:val="center"/>
        <w:rPr>
          <w:rFonts w:ascii="Arial" w:hAnsi="Arial" w:cs="Arial"/>
          <w:color w:val="000000" w:themeColor="text1"/>
          <w:sz w:val="16"/>
          <w:szCs w:val="16"/>
        </w:rPr>
      </w:pPr>
    </w:p>
    <w:sectPr w:rsidR="004216FF" w:rsidRPr="00E27090" w:rsidSect="00F21BAC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2F01A11"/>
    <w:multiLevelType w:val="multilevel"/>
    <w:tmpl w:val="68F60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1C20EF0"/>
    <w:multiLevelType w:val="multilevel"/>
    <w:tmpl w:val="72549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4194883"/>
    <w:multiLevelType w:val="hybridMultilevel"/>
    <w:tmpl w:val="3C7E0BDA"/>
    <w:lvl w:ilvl="0" w:tplc="040C000B">
      <w:start w:val="1"/>
      <w:numFmt w:val="bullet"/>
      <w:lvlText w:val=""/>
      <w:lvlJc w:val="left"/>
      <w:pPr>
        <w:ind w:left="43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7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5"/>
  </w:num>
  <w:num w:numId="4">
    <w:abstractNumId w:val="2"/>
  </w:num>
  <w:num w:numId="5">
    <w:abstractNumId w:val="8"/>
  </w:num>
  <w:num w:numId="6">
    <w:abstractNumId w:val="10"/>
  </w:num>
  <w:num w:numId="7">
    <w:abstractNumId w:val="1"/>
  </w:num>
  <w:num w:numId="8">
    <w:abstractNumId w:val="0"/>
  </w:num>
  <w:num w:numId="9">
    <w:abstractNumId w:val="9"/>
  </w:num>
  <w:num w:numId="10">
    <w:abstractNumId w:val="4"/>
  </w:num>
  <w:num w:numId="11">
    <w:abstractNumId w:val="3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8097E"/>
    <w:rsid w:val="00082F47"/>
    <w:rsid w:val="000A0DB8"/>
    <w:rsid w:val="000A1E4F"/>
    <w:rsid w:val="000E3DEF"/>
    <w:rsid w:val="00163AC1"/>
    <w:rsid w:val="001B2266"/>
    <w:rsid w:val="002415AE"/>
    <w:rsid w:val="00270FFD"/>
    <w:rsid w:val="002877F5"/>
    <w:rsid w:val="002A20F4"/>
    <w:rsid w:val="002B6FCC"/>
    <w:rsid w:val="002B794F"/>
    <w:rsid w:val="002C472B"/>
    <w:rsid w:val="002D4D7C"/>
    <w:rsid w:val="00307BF0"/>
    <w:rsid w:val="00357FB1"/>
    <w:rsid w:val="003D66D6"/>
    <w:rsid w:val="00415F14"/>
    <w:rsid w:val="004216FF"/>
    <w:rsid w:val="004325F8"/>
    <w:rsid w:val="0049764C"/>
    <w:rsid w:val="00515F3F"/>
    <w:rsid w:val="00595C57"/>
    <w:rsid w:val="005F7288"/>
    <w:rsid w:val="00601DE2"/>
    <w:rsid w:val="006300FC"/>
    <w:rsid w:val="00675030"/>
    <w:rsid w:val="00684386"/>
    <w:rsid w:val="006E7F98"/>
    <w:rsid w:val="00710FF8"/>
    <w:rsid w:val="00716EA4"/>
    <w:rsid w:val="00786D1D"/>
    <w:rsid w:val="007B7FF4"/>
    <w:rsid w:val="008464FF"/>
    <w:rsid w:val="00871AC5"/>
    <w:rsid w:val="008778F4"/>
    <w:rsid w:val="00891331"/>
    <w:rsid w:val="008B6CEF"/>
    <w:rsid w:val="008D1638"/>
    <w:rsid w:val="008F4DA1"/>
    <w:rsid w:val="0095102A"/>
    <w:rsid w:val="00962D4E"/>
    <w:rsid w:val="009F36E0"/>
    <w:rsid w:val="00A16DA8"/>
    <w:rsid w:val="00A55ABC"/>
    <w:rsid w:val="00A74773"/>
    <w:rsid w:val="00AC6389"/>
    <w:rsid w:val="00B32C2C"/>
    <w:rsid w:val="00B8000F"/>
    <w:rsid w:val="00BC61ED"/>
    <w:rsid w:val="00BE1184"/>
    <w:rsid w:val="00C05FFD"/>
    <w:rsid w:val="00C14D1B"/>
    <w:rsid w:val="00C1513C"/>
    <w:rsid w:val="00C40B11"/>
    <w:rsid w:val="00C838F4"/>
    <w:rsid w:val="00C9619D"/>
    <w:rsid w:val="00D342F6"/>
    <w:rsid w:val="00D3632F"/>
    <w:rsid w:val="00D80C98"/>
    <w:rsid w:val="00DA1675"/>
    <w:rsid w:val="00DA2B6D"/>
    <w:rsid w:val="00DA7D31"/>
    <w:rsid w:val="00DC1E42"/>
    <w:rsid w:val="00E04736"/>
    <w:rsid w:val="00E27090"/>
    <w:rsid w:val="00E37349"/>
    <w:rsid w:val="00E37FC5"/>
    <w:rsid w:val="00EC3CB6"/>
    <w:rsid w:val="00ED7F09"/>
    <w:rsid w:val="00F01EA8"/>
    <w:rsid w:val="00F14BB5"/>
    <w:rsid w:val="00F21BAC"/>
    <w:rsid w:val="00F428EF"/>
    <w:rsid w:val="00F46A7D"/>
    <w:rsid w:val="00F87294"/>
    <w:rsid w:val="00F927B2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link w:val="Titre2Car"/>
    <w:uiPriority w:val="9"/>
    <w:qFormat/>
    <w:rsid w:val="00515F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515F3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515F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515F3F"/>
    <w:rPr>
      <w:b/>
      <w:bCs/>
    </w:rPr>
  </w:style>
  <w:style w:type="character" w:styleId="Accentuation">
    <w:name w:val="Emphasis"/>
    <w:basedOn w:val="Policepardfaut"/>
    <w:uiPriority w:val="20"/>
    <w:qFormat/>
    <w:rsid w:val="00DA7D31"/>
    <w:rPr>
      <w:i/>
      <w:iCs/>
    </w:rPr>
  </w:style>
  <w:style w:type="character" w:styleId="Lienhypertexte">
    <w:name w:val="Hyperlink"/>
    <w:basedOn w:val="Policepardfaut"/>
    <w:uiPriority w:val="99"/>
    <w:unhideWhenUsed/>
    <w:rsid w:val="004216FF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4216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microsoft.com/office/2007/relationships/hdphoto" Target="media/hdphoto1.wdp"/><Relationship Id="rId12" Type="http://schemas.openxmlformats.org/officeDocument/2006/relationships/hyperlink" Target="https://www.inox-system.fr/content/23-generalites-sur-les-aciers-inoxydabl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microsoft.com/office/2007/relationships/hdphoto" Target="media/hdphoto3.wdp"/><Relationship Id="rId5" Type="http://schemas.openxmlformats.org/officeDocument/2006/relationships/image" Target="media/image1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microsoft.com/office/2007/relationships/hdphoto" Target="media/hdphoto2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418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12</cp:revision>
  <cp:lastPrinted>2022-01-07T08:40:00Z</cp:lastPrinted>
  <dcterms:created xsi:type="dcterms:W3CDTF">2022-01-13T08:28:00Z</dcterms:created>
  <dcterms:modified xsi:type="dcterms:W3CDTF">2022-01-19T10:13:00Z</dcterms:modified>
</cp:coreProperties>
</file>